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enraster1"/>
        <w:tblW w:w="10065" w:type="dxa"/>
        <w:tblInd w:w="-318" w:type="dxa"/>
        <w:tblLook w:val="04A0"/>
      </w:tblPr>
      <w:tblGrid>
        <w:gridCol w:w="10065"/>
      </w:tblGrid>
      <w:tr w:rsidR="0042620D" w:rsidRPr="00DE3B77" w:rsidTr="0042620D">
        <w:tc>
          <w:tcPr>
            <w:tcW w:w="10065" w:type="dxa"/>
            <w:shd w:val="clear" w:color="auto" w:fill="BFBFBF"/>
          </w:tcPr>
          <w:p w:rsidR="0042620D" w:rsidRDefault="007D14CC" w:rsidP="007D14CC">
            <w:pPr>
              <w:jc w:val="center"/>
              <w:rPr>
                <w:rFonts w:ascii="Calibri" w:eastAsia="Calibri" w:hAnsi="Calibri" w:cs="Calibri"/>
                <w:b/>
                <w:lang w:val="fr-FR"/>
              </w:rPr>
            </w:pPr>
            <w:r>
              <w:rPr>
                <w:rFonts w:ascii="Calibri" w:eastAsia="Calibri" w:hAnsi="Calibri" w:cs="Calibri"/>
                <w:b/>
                <w:lang w:val="fr-FR"/>
              </w:rPr>
              <w:t>Comment échanger l</w:t>
            </w:r>
            <w:r w:rsidRPr="007D14CC">
              <w:rPr>
                <w:rFonts w:ascii="Calibri" w:eastAsia="Calibri" w:hAnsi="Calibri" w:cs="Calibri"/>
                <w:b/>
                <w:lang w:val="fr-FR"/>
              </w:rPr>
              <w:t>es informations nécessaires pour déterminer la résidence?</w:t>
            </w:r>
          </w:p>
          <w:p w:rsidR="001E4F25" w:rsidRPr="007D14CC" w:rsidRDefault="001E4F25" w:rsidP="007D14CC">
            <w:pPr>
              <w:jc w:val="center"/>
              <w:rPr>
                <w:rFonts w:ascii="Calibri" w:eastAsia="Calibri" w:hAnsi="Calibri" w:cs="Calibri"/>
                <w:b/>
                <w:lang w:val="fr-FR"/>
              </w:rPr>
            </w:pPr>
          </w:p>
        </w:tc>
      </w:tr>
      <w:tr w:rsidR="0042620D" w:rsidRPr="009D4D36" w:rsidTr="006E0F77">
        <w:tc>
          <w:tcPr>
            <w:tcW w:w="10065" w:type="dxa"/>
          </w:tcPr>
          <w:p w:rsidR="0042620D" w:rsidRPr="007D14CC" w:rsidRDefault="007D14CC" w:rsidP="007D14CC">
            <w:pPr>
              <w:jc w:val="center"/>
              <w:rPr>
                <w:rFonts w:ascii="Calibri" w:eastAsia="Calibri" w:hAnsi="Calibri" w:cs="Calibri"/>
                <w:b/>
                <w:lang w:val="fr-FR"/>
              </w:rPr>
            </w:pPr>
            <w:r>
              <w:rPr>
                <w:rFonts w:ascii="Calibri" w:eastAsia="Calibri" w:hAnsi="Calibri" w:cs="Calibri"/>
                <w:b/>
                <w:lang w:val="fr-FR"/>
              </w:rPr>
              <w:t>H_BUC_02_Subprocess :</w:t>
            </w:r>
            <w:r w:rsidR="0042620D" w:rsidRPr="007D14CC">
              <w:rPr>
                <w:rFonts w:ascii="Calibri" w:eastAsia="Calibri" w:hAnsi="Calibri" w:cs="Calibri"/>
                <w:b/>
                <w:lang w:val="fr-FR"/>
              </w:rPr>
              <w:t xml:space="preserve"> </w:t>
            </w:r>
            <w:r w:rsidRPr="007D14CC">
              <w:rPr>
                <w:rFonts w:ascii="Calibri" w:eastAsia="Calibri" w:hAnsi="Calibri" w:cs="Calibri"/>
                <w:b/>
                <w:lang w:val="fr-FR"/>
              </w:rPr>
              <w:t>Détermination de la résidence</w:t>
            </w:r>
          </w:p>
        </w:tc>
      </w:tr>
      <w:tr w:rsidR="0042620D" w:rsidRPr="00120184" w:rsidTr="00120184">
        <w:trPr>
          <w:trHeight w:val="5372"/>
        </w:trPr>
        <w:tc>
          <w:tcPr>
            <w:tcW w:w="10065" w:type="dxa"/>
          </w:tcPr>
          <w:p w:rsidR="006D325A" w:rsidRPr="00BB7F8D" w:rsidRDefault="007D14CC" w:rsidP="006D325A">
            <w:pPr>
              <w:jc w:val="both"/>
              <w:rPr>
                <w:rFonts w:ascii="Calibri" w:eastAsia="Calibri" w:hAnsi="Calibri" w:cs="Calibri"/>
                <w:b/>
                <w:u w:val="single"/>
                <w:lang w:val="fr-FR"/>
              </w:rPr>
            </w:pPr>
            <w:r w:rsidRPr="00BB7F8D">
              <w:rPr>
                <w:rFonts w:ascii="Calibri" w:eastAsia="Calibri" w:hAnsi="Calibri" w:cs="Calibri"/>
                <w:b/>
                <w:u w:val="single"/>
                <w:lang w:val="fr-FR"/>
              </w:rPr>
              <w:t>Description</w:t>
            </w:r>
            <w:r w:rsidR="007E41A5" w:rsidRPr="00BB7F8D">
              <w:rPr>
                <w:rFonts w:ascii="Calibri" w:eastAsia="Calibri" w:hAnsi="Calibri" w:cs="Calibri"/>
                <w:b/>
                <w:u w:val="single"/>
                <w:lang w:val="fr-FR"/>
              </w:rPr>
              <w:t> :</w:t>
            </w:r>
          </w:p>
          <w:p w:rsidR="0042620D" w:rsidRPr="0034664D" w:rsidRDefault="0034664D" w:rsidP="00D97815">
            <w:pPr>
              <w:spacing w:after="120"/>
              <w:jc w:val="both"/>
              <w:rPr>
                <w:rFonts w:ascii="Calibri" w:eastAsia="Calibri" w:hAnsi="Calibri" w:cs="Calibri"/>
                <w:lang w:val="fr-FR"/>
              </w:rPr>
            </w:pPr>
            <w:r w:rsidRPr="00853E81">
              <w:rPr>
                <w:rFonts w:ascii="Calibri" w:eastAsia="Calibri" w:hAnsi="Calibri" w:cs="Calibri"/>
                <w:lang w:val="fr-FR"/>
              </w:rPr>
              <w:t>Le sous-processus horizontal « Détermination de la résidence : Demande d’information, Procédure de désaccord et Notification concernant l’Etat de résidence » est utilisé</w:t>
            </w:r>
            <w:r w:rsidR="00853E81" w:rsidRPr="00853E81">
              <w:rPr>
                <w:rFonts w:ascii="Calibri" w:eastAsia="Calibri" w:hAnsi="Calibri" w:cs="Calibri"/>
                <w:lang w:val="fr-FR"/>
              </w:rPr>
              <w:t xml:space="preserve">, au sein d’un BUC sectoriel existant, pour </w:t>
            </w:r>
            <w:r w:rsidR="00A316A1">
              <w:rPr>
                <w:rFonts w:ascii="Calibri" w:eastAsia="Calibri" w:hAnsi="Calibri" w:cs="Calibri"/>
                <w:lang w:val="fr-FR"/>
              </w:rPr>
              <w:t xml:space="preserve">déterminer </w:t>
            </w:r>
            <w:r w:rsidRPr="00853E81">
              <w:rPr>
                <w:rFonts w:ascii="Calibri" w:eastAsia="Calibri" w:hAnsi="Calibri" w:cs="Calibri"/>
                <w:lang w:val="fr-FR"/>
              </w:rPr>
              <w:t xml:space="preserve">le lieu de résidence de la personne concernée, </w:t>
            </w:r>
            <w:r w:rsidR="00853E81" w:rsidRPr="00853E81">
              <w:rPr>
                <w:rFonts w:ascii="Calibri" w:eastAsia="Calibri" w:hAnsi="Calibri" w:cs="Calibri"/>
                <w:lang w:val="fr-FR"/>
              </w:rPr>
              <w:t xml:space="preserve">échanger </w:t>
            </w:r>
            <w:r w:rsidRPr="00853E81">
              <w:rPr>
                <w:rFonts w:ascii="Calibri" w:eastAsia="Calibri" w:hAnsi="Calibri" w:cs="Calibri"/>
                <w:lang w:val="fr-FR"/>
              </w:rPr>
              <w:t xml:space="preserve">des </w:t>
            </w:r>
            <w:r w:rsidR="00853E81" w:rsidRPr="00853E81">
              <w:rPr>
                <w:rFonts w:ascii="Calibri" w:eastAsia="Calibri" w:hAnsi="Calibri" w:cs="Calibri"/>
                <w:lang w:val="fr-FR"/>
              </w:rPr>
              <w:t>informations sur la résidence</w:t>
            </w:r>
            <w:r w:rsidRPr="00853E81">
              <w:rPr>
                <w:rFonts w:ascii="Calibri" w:eastAsia="Calibri" w:hAnsi="Calibri" w:cs="Calibri"/>
                <w:lang w:val="fr-FR"/>
              </w:rPr>
              <w:t xml:space="preserve">, engager une procédure de désaccord ou pour notifier </w:t>
            </w:r>
            <w:r w:rsidR="00853E81" w:rsidRPr="00853E81">
              <w:rPr>
                <w:rFonts w:ascii="Calibri" w:eastAsia="Calibri" w:hAnsi="Calibri" w:cs="Calibri"/>
                <w:lang w:val="fr-FR"/>
              </w:rPr>
              <w:t>la décision relative à la résidence prise par un Etat membre conformément à la législation communautaire en vigueur. Ce sous-processus comprend trois options pouvant être utilisées séparément ou l’une après l’autre selon l’action requise.</w:t>
            </w:r>
            <w:r w:rsidR="00853E81">
              <w:rPr>
                <w:rFonts w:ascii="Verdana" w:eastAsia="Verdana" w:hAnsi="Verdana" w:cs="Verdana"/>
                <w:color w:val="000000"/>
                <w:sz w:val="20"/>
                <w:szCs w:val="20"/>
                <w:lang w:val="fr-FR"/>
              </w:rPr>
              <w:t xml:space="preserve"> </w:t>
            </w:r>
          </w:p>
          <w:p w:rsidR="00075CE1" w:rsidRPr="007E41A5" w:rsidRDefault="006E0F77" w:rsidP="00075CE1">
            <w:pPr>
              <w:spacing w:after="120"/>
              <w:jc w:val="both"/>
              <w:rPr>
                <w:rFonts w:ascii="Calibri" w:eastAsia="Calibri" w:hAnsi="Calibri"/>
                <w:b/>
                <w:lang w:val="fr-FR"/>
              </w:rPr>
            </w:pPr>
            <w:r w:rsidRPr="007E41A5">
              <w:rPr>
                <w:rFonts w:ascii="Calibri" w:eastAsia="Calibri" w:hAnsi="Calibri"/>
                <w:b/>
                <w:u w:val="single"/>
                <w:lang w:val="fr-FR"/>
              </w:rPr>
              <w:t>Fondement juridique</w:t>
            </w:r>
            <w:r w:rsidR="007E41A5">
              <w:rPr>
                <w:rFonts w:ascii="Calibri" w:eastAsia="Calibri" w:hAnsi="Calibri"/>
                <w:b/>
                <w:u w:val="single"/>
                <w:lang w:val="fr-FR"/>
              </w:rPr>
              <w:t> :</w:t>
            </w:r>
            <w:r w:rsidR="00075CE1" w:rsidRPr="007E41A5">
              <w:rPr>
                <w:rFonts w:ascii="Calibri" w:eastAsia="Calibri" w:hAnsi="Calibri"/>
                <w:b/>
                <w:lang w:val="fr-FR"/>
              </w:rPr>
              <w:tab/>
            </w:r>
          </w:p>
          <w:tbl>
            <w:tblPr>
              <w:tblW w:w="96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5275"/>
              <w:gridCol w:w="2551"/>
              <w:gridCol w:w="1843"/>
            </w:tblGrid>
            <w:tr w:rsidR="00AA0DD2" w:rsidRPr="00823A4F" w:rsidTr="000210CE">
              <w:trPr>
                <w:trHeight w:val="359"/>
              </w:trPr>
              <w:tc>
                <w:tcPr>
                  <w:tcW w:w="5275" w:type="dxa"/>
                  <w:vMerge w:val="restart"/>
                  <w:shd w:val="clear" w:color="auto" w:fill="auto"/>
                  <w:vAlign w:val="center"/>
                </w:tcPr>
                <w:p w:rsidR="00AA0DD2" w:rsidRPr="005843D7" w:rsidRDefault="00AA0DD2" w:rsidP="005843D7">
                  <w:pPr>
                    <w:pStyle w:val="Listepuces4"/>
                    <w:numPr>
                      <w:ilvl w:val="0"/>
                      <w:numId w:val="0"/>
                    </w:numPr>
                    <w:jc w:val="center"/>
                    <w:rPr>
                      <w:rFonts w:ascii="Calibri" w:hAnsi="Calibri" w:cs="Calibri"/>
                      <w:b/>
                      <w:color w:val="FFFFFF"/>
                      <w:sz w:val="22"/>
                      <w:szCs w:val="22"/>
                      <w:lang w:val="en-US"/>
                    </w:rPr>
                  </w:pPr>
                  <w:r w:rsidRPr="005843D7">
                    <w:rPr>
                      <w:rFonts w:ascii="Calibri" w:hAnsi="Calibri" w:cs="Calibri"/>
                      <w:b/>
                      <w:sz w:val="22"/>
                      <w:szCs w:val="22"/>
                      <w:lang w:val="en-US"/>
                    </w:rPr>
                    <w:t>SED</w:t>
                  </w:r>
                </w:p>
              </w:tc>
              <w:tc>
                <w:tcPr>
                  <w:tcW w:w="2551" w:type="dxa"/>
                  <w:shd w:val="clear" w:color="auto" w:fill="1F497D"/>
                  <w:vAlign w:val="center"/>
                </w:tcPr>
                <w:p w:rsidR="00AA0DD2" w:rsidRPr="00AA0DD2" w:rsidRDefault="00AA0DD2" w:rsidP="00BB7F8D">
                  <w:pPr>
                    <w:pStyle w:val="Listepuces4"/>
                    <w:numPr>
                      <w:ilvl w:val="0"/>
                      <w:numId w:val="0"/>
                    </w:numPr>
                    <w:jc w:val="center"/>
                    <w:rPr>
                      <w:rFonts w:ascii="Calibri" w:hAnsi="Calibri" w:cs="Calibri"/>
                      <w:b/>
                      <w:color w:val="FFFFFF"/>
                      <w:sz w:val="22"/>
                      <w:szCs w:val="22"/>
                      <w:lang w:val="en-US"/>
                    </w:rPr>
                  </w:pPr>
                  <w:r w:rsidRPr="00AA0DD2">
                    <w:rPr>
                      <w:rFonts w:ascii="Calibri" w:hAnsi="Calibri" w:cs="Calibri"/>
                      <w:b/>
                      <w:color w:val="FFFFFF"/>
                      <w:sz w:val="22"/>
                      <w:szCs w:val="22"/>
                      <w:lang w:val="en-US"/>
                    </w:rPr>
                    <w:t>Reg. d’application  (n°987/2009)</w:t>
                  </w:r>
                </w:p>
              </w:tc>
              <w:tc>
                <w:tcPr>
                  <w:tcW w:w="1843" w:type="dxa"/>
                  <w:shd w:val="clear" w:color="auto" w:fill="1F497D"/>
                </w:tcPr>
                <w:p w:rsidR="00AA0DD2" w:rsidRPr="00AA0DD2" w:rsidRDefault="00AA0DD2" w:rsidP="00BB7F8D">
                  <w:pPr>
                    <w:pStyle w:val="Listepuces4"/>
                    <w:numPr>
                      <w:ilvl w:val="0"/>
                      <w:numId w:val="0"/>
                    </w:numPr>
                    <w:jc w:val="center"/>
                    <w:rPr>
                      <w:rFonts w:ascii="Calibri" w:hAnsi="Calibri" w:cs="Calibri"/>
                      <w:b/>
                      <w:color w:val="FFFFFF"/>
                      <w:sz w:val="22"/>
                      <w:szCs w:val="22"/>
                      <w:lang w:val="en-US"/>
                    </w:rPr>
                  </w:pPr>
                  <w:r w:rsidRPr="00AA0DD2">
                    <w:rPr>
                      <w:rFonts w:ascii="Calibri" w:hAnsi="Calibri" w:cs="Calibri"/>
                      <w:b/>
                      <w:color w:val="FFFFFF"/>
                      <w:sz w:val="22"/>
                      <w:szCs w:val="22"/>
                      <w:lang w:val="en-US"/>
                    </w:rPr>
                    <w:t>Reg. de base. (n°883/2004)</w:t>
                  </w:r>
                </w:p>
              </w:tc>
            </w:tr>
            <w:tr w:rsidR="005843D7" w:rsidRPr="00823A4F" w:rsidTr="000210CE">
              <w:trPr>
                <w:trHeight w:val="359"/>
              </w:trPr>
              <w:tc>
                <w:tcPr>
                  <w:tcW w:w="5275" w:type="dxa"/>
                  <w:vMerge/>
                  <w:shd w:val="clear" w:color="auto" w:fill="auto"/>
                </w:tcPr>
                <w:p w:rsidR="005843D7" w:rsidRPr="005843D7" w:rsidRDefault="005843D7" w:rsidP="005843D7">
                  <w:pPr>
                    <w:pStyle w:val="Listepuces4"/>
                    <w:numPr>
                      <w:ilvl w:val="0"/>
                      <w:numId w:val="0"/>
                    </w:numPr>
                    <w:jc w:val="center"/>
                    <w:rPr>
                      <w:rFonts w:ascii="Calibri" w:hAnsi="Calibri" w:cs="Calibri"/>
                      <w:b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551" w:type="dxa"/>
                  <w:shd w:val="clear" w:color="auto" w:fill="1F497D"/>
                  <w:vAlign w:val="center"/>
                </w:tcPr>
                <w:p w:rsidR="005843D7" w:rsidRPr="005843D7" w:rsidRDefault="005843D7" w:rsidP="005843D7">
                  <w:pPr>
                    <w:pStyle w:val="Listepuces4"/>
                    <w:numPr>
                      <w:ilvl w:val="0"/>
                      <w:numId w:val="0"/>
                    </w:numPr>
                    <w:jc w:val="center"/>
                    <w:rPr>
                      <w:rFonts w:ascii="Calibri" w:hAnsi="Calibri" w:cs="Calibri"/>
                      <w:b/>
                      <w:color w:val="FFFFFF"/>
                      <w:sz w:val="22"/>
                      <w:szCs w:val="22"/>
                      <w:lang w:val="en-US"/>
                    </w:rPr>
                  </w:pPr>
                  <w:r w:rsidRPr="005843D7">
                    <w:rPr>
                      <w:rFonts w:ascii="Calibri" w:hAnsi="Calibri" w:cs="Calibri"/>
                      <w:b/>
                      <w:color w:val="FFFFFF"/>
                      <w:sz w:val="22"/>
                      <w:szCs w:val="22"/>
                      <w:lang w:val="en-US"/>
                    </w:rPr>
                    <w:t>11</w:t>
                  </w:r>
                </w:p>
              </w:tc>
              <w:tc>
                <w:tcPr>
                  <w:tcW w:w="1843" w:type="dxa"/>
                  <w:shd w:val="clear" w:color="auto" w:fill="1F497D"/>
                </w:tcPr>
                <w:p w:rsidR="005843D7" w:rsidRPr="005843D7" w:rsidRDefault="005843D7" w:rsidP="005843D7">
                  <w:pPr>
                    <w:pStyle w:val="Listepuces4"/>
                    <w:numPr>
                      <w:ilvl w:val="0"/>
                      <w:numId w:val="0"/>
                    </w:numPr>
                    <w:jc w:val="center"/>
                    <w:rPr>
                      <w:rFonts w:ascii="Calibri" w:hAnsi="Calibri" w:cs="Calibri"/>
                      <w:b/>
                      <w:color w:val="FFFFFF"/>
                      <w:sz w:val="22"/>
                      <w:szCs w:val="22"/>
                      <w:lang w:val="en-US"/>
                    </w:rPr>
                  </w:pPr>
                  <w:r w:rsidRPr="005843D7">
                    <w:rPr>
                      <w:rFonts w:ascii="Calibri" w:hAnsi="Calibri" w:cs="Calibri"/>
                      <w:b/>
                      <w:color w:val="FFFFFF"/>
                      <w:sz w:val="22"/>
                      <w:szCs w:val="22"/>
                      <w:lang w:val="en-US"/>
                    </w:rPr>
                    <w:t>76</w:t>
                  </w:r>
                </w:p>
              </w:tc>
            </w:tr>
            <w:tr w:rsidR="005843D7" w:rsidRPr="00F85539" w:rsidTr="000210CE">
              <w:tc>
                <w:tcPr>
                  <w:tcW w:w="5275" w:type="dxa"/>
                  <w:shd w:val="clear" w:color="auto" w:fill="auto"/>
                </w:tcPr>
                <w:p w:rsidR="005843D7" w:rsidRPr="006E0F77" w:rsidRDefault="005843D7" w:rsidP="006E0F77">
                  <w:pPr>
                    <w:pStyle w:val="Listepuces4"/>
                    <w:numPr>
                      <w:ilvl w:val="0"/>
                      <w:numId w:val="0"/>
                    </w:numPr>
                    <w:rPr>
                      <w:rStyle w:val="Lienhypertexte"/>
                      <w:lang w:val="fr-FR"/>
                    </w:rPr>
                  </w:pPr>
                  <w:r w:rsidRPr="006E0F77">
                    <w:rPr>
                      <w:rStyle w:val="Lienhypertexte"/>
                      <w:rFonts w:ascii="Calibri" w:hAnsi="Calibri" w:cs="Calibri"/>
                      <w:sz w:val="22"/>
                      <w:szCs w:val="22"/>
                      <w:lang w:val="fr-FR"/>
                    </w:rPr>
                    <w:t>H003</w:t>
                  </w:r>
                  <w:r w:rsidR="000210CE" w:rsidRPr="006E0F77">
                    <w:rPr>
                      <w:rStyle w:val="Lienhypertexte"/>
                      <w:rFonts w:ascii="Calibri" w:hAnsi="Calibri" w:cs="Calibri"/>
                      <w:sz w:val="22"/>
                      <w:szCs w:val="22"/>
                      <w:lang w:val="fr-FR"/>
                    </w:rPr>
                    <w:t xml:space="preserve"> </w:t>
                  </w:r>
                  <w:r w:rsidR="006E0F77" w:rsidRPr="006E0F77">
                    <w:rPr>
                      <w:rStyle w:val="Lienhypertexte"/>
                      <w:rFonts w:ascii="Calibri" w:hAnsi="Calibri" w:cs="Calibri"/>
                      <w:sz w:val="22"/>
                      <w:szCs w:val="22"/>
                      <w:lang w:val="fr-FR"/>
                    </w:rPr>
                    <w:t>Proposition/Notification concernant l’Etat de résidence</w:t>
                  </w:r>
                </w:p>
              </w:tc>
              <w:tc>
                <w:tcPr>
                  <w:tcW w:w="2551" w:type="dxa"/>
                  <w:shd w:val="clear" w:color="auto" w:fill="FFFFFF" w:themeFill="background1"/>
                </w:tcPr>
                <w:p w:rsidR="005843D7" w:rsidRPr="005843D7" w:rsidRDefault="005843D7" w:rsidP="005843D7">
                  <w:pPr>
                    <w:pStyle w:val="Listepuces4"/>
                    <w:numPr>
                      <w:ilvl w:val="0"/>
                      <w:numId w:val="0"/>
                    </w:numPr>
                    <w:jc w:val="center"/>
                    <w:rPr>
                      <w:rFonts w:ascii="Calibri" w:hAnsi="Calibri" w:cs="Calibri"/>
                      <w:b/>
                      <w:color w:val="4F6228"/>
                      <w:sz w:val="22"/>
                      <w:szCs w:val="22"/>
                      <w:lang w:val="en-US"/>
                    </w:rPr>
                  </w:pPr>
                  <w:r w:rsidRPr="005843D7">
                    <w:rPr>
                      <w:rFonts w:ascii="Calibri" w:hAnsi="Calibri" w:cs="Calibri"/>
                      <w:b/>
                      <w:color w:val="4F6228"/>
                      <w:sz w:val="22"/>
                      <w:szCs w:val="22"/>
                      <w:lang w:val="en-US"/>
                    </w:rPr>
                    <w:sym w:font="Wingdings" w:char="F0FC"/>
                  </w:r>
                </w:p>
              </w:tc>
              <w:tc>
                <w:tcPr>
                  <w:tcW w:w="1843" w:type="dxa"/>
                  <w:shd w:val="clear" w:color="auto" w:fill="FFFFFF" w:themeFill="background1"/>
                </w:tcPr>
                <w:p w:rsidR="005843D7" w:rsidRPr="005843D7" w:rsidRDefault="005843D7" w:rsidP="005843D7">
                  <w:pPr>
                    <w:pStyle w:val="Listepuces4"/>
                    <w:numPr>
                      <w:ilvl w:val="0"/>
                      <w:numId w:val="0"/>
                    </w:numPr>
                    <w:jc w:val="center"/>
                    <w:rPr>
                      <w:rFonts w:ascii="Calibri" w:hAnsi="Calibri" w:cs="Calibri"/>
                      <w:b/>
                      <w:color w:val="4F6228"/>
                      <w:sz w:val="22"/>
                      <w:szCs w:val="22"/>
                      <w:lang w:val="en-US"/>
                    </w:rPr>
                  </w:pPr>
                  <w:r w:rsidRPr="005843D7">
                    <w:rPr>
                      <w:rFonts w:ascii="Calibri" w:hAnsi="Calibri" w:cs="Calibri"/>
                      <w:b/>
                      <w:color w:val="4F6228"/>
                      <w:sz w:val="22"/>
                      <w:szCs w:val="22"/>
                      <w:lang w:val="en-US"/>
                    </w:rPr>
                    <w:sym w:font="Wingdings" w:char="F0FC"/>
                  </w:r>
                </w:p>
              </w:tc>
            </w:tr>
            <w:tr w:rsidR="005843D7" w:rsidRPr="00F85539" w:rsidTr="000210CE">
              <w:tc>
                <w:tcPr>
                  <w:tcW w:w="5275" w:type="dxa"/>
                  <w:shd w:val="clear" w:color="auto" w:fill="auto"/>
                </w:tcPr>
                <w:p w:rsidR="005843D7" w:rsidRPr="006E0F77" w:rsidRDefault="009E4DC5" w:rsidP="006E0F77">
                  <w:pPr>
                    <w:pStyle w:val="Listepuces4"/>
                    <w:numPr>
                      <w:ilvl w:val="0"/>
                      <w:numId w:val="0"/>
                    </w:numPr>
                    <w:jc w:val="left"/>
                    <w:rPr>
                      <w:rFonts w:ascii="Calibri" w:hAnsi="Calibri" w:cs="Calibri"/>
                      <w:sz w:val="22"/>
                      <w:szCs w:val="22"/>
                      <w:lang w:val="fr-FR"/>
                    </w:rPr>
                  </w:pPr>
                  <w:hyperlink r:id="rId10" w:history="1">
                    <w:r w:rsidR="005843D7" w:rsidRPr="006E0F77">
                      <w:rPr>
                        <w:rStyle w:val="Lienhypertexte"/>
                        <w:rFonts w:ascii="Calibri" w:hAnsi="Calibri" w:cs="Calibri"/>
                        <w:sz w:val="22"/>
                        <w:szCs w:val="22"/>
                        <w:lang w:val="fr-FR"/>
                      </w:rPr>
                      <w:t>H004</w:t>
                    </w:r>
                    <w:r w:rsidR="000210CE" w:rsidRPr="006E0F77">
                      <w:rPr>
                        <w:rStyle w:val="Lienhypertexte"/>
                        <w:rFonts w:ascii="Calibri" w:hAnsi="Calibri" w:cs="Calibri"/>
                        <w:sz w:val="22"/>
                        <w:szCs w:val="22"/>
                        <w:lang w:val="fr-FR"/>
                      </w:rPr>
                      <w:t xml:space="preserve"> </w:t>
                    </w:r>
                  </w:hyperlink>
                  <w:r w:rsidR="006E0F77" w:rsidRPr="006E0F77">
                    <w:rPr>
                      <w:rStyle w:val="Lienhypertexte"/>
                      <w:rFonts w:ascii="Calibri" w:hAnsi="Calibri"/>
                      <w:sz w:val="22"/>
                      <w:szCs w:val="22"/>
                      <w:lang w:val="fr-FR"/>
                    </w:rPr>
                    <w:t>Réponse à une proposition concernant l’Etat de résidence/Désaccord avec la décision concernant l’Etat de résidence</w:t>
                  </w:r>
                </w:p>
              </w:tc>
              <w:tc>
                <w:tcPr>
                  <w:tcW w:w="2551" w:type="dxa"/>
                  <w:shd w:val="clear" w:color="auto" w:fill="FFFFFF" w:themeFill="background1"/>
                </w:tcPr>
                <w:p w:rsidR="005843D7" w:rsidRPr="005843D7" w:rsidRDefault="005843D7" w:rsidP="005843D7">
                  <w:pPr>
                    <w:pStyle w:val="Listepuces4"/>
                    <w:numPr>
                      <w:ilvl w:val="0"/>
                      <w:numId w:val="0"/>
                    </w:numPr>
                    <w:jc w:val="center"/>
                    <w:rPr>
                      <w:rFonts w:ascii="Calibri" w:hAnsi="Calibri" w:cs="Calibri"/>
                      <w:b/>
                      <w:color w:val="4F6228"/>
                      <w:sz w:val="22"/>
                      <w:szCs w:val="22"/>
                      <w:lang w:val="en-US"/>
                    </w:rPr>
                  </w:pPr>
                  <w:r w:rsidRPr="005843D7">
                    <w:rPr>
                      <w:rFonts w:ascii="Calibri" w:hAnsi="Calibri" w:cs="Calibri"/>
                      <w:b/>
                      <w:color w:val="4F6228"/>
                      <w:sz w:val="22"/>
                      <w:szCs w:val="22"/>
                      <w:lang w:val="en-US"/>
                    </w:rPr>
                    <w:sym w:font="Wingdings" w:char="F0FC"/>
                  </w:r>
                </w:p>
              </w:tc>
              <w:tc>
                <w:tcPr>
                  <w:tcW w:w="1843" w:type="dxa"/>
                  <w:shd w:val="clear" w:color="auto" w:fill="FFFFFF" w:themeFill="background1"/>
                </w:tcPr>
                <w:p w:rsidR="005843D7" w:rsidRPr="005843D7" w:rsidRDefault="005843D7" w:rsidP="005843D7">
                  <w:pPr>
                    <w:pStyle w:val="Listepuces4"/>
                    <w:numPr>
                      <w:ilvl w:val="0"/>
                      <w:numId w:val="0"/>
                    </w:numPr>
                    <w:jc w:val="center"/>
                    <w:rPr>
                      <w:rFonts w:ascii="Calibri" w:hAnsi="Calibri" w:cs="Calibri"/>
                      <w:b/>
                      <w:color w:val="4F6228"/>
                      <w:sz w:val="22"/>
                      <w:szCs w:val="22"/>
                      <w:lang w:val="en-US"/>
                    </w:rPr>
                  </w:pPr>
                  <w:r w:rsidRPr="005843D7">
                    <w:rPr>
                      <w:rFonts w:ascii="Calibri" w:hAnsi="Calibri" w:cs="Calibri"/>
                      <w:b/>
                      <w:color w:val="4F6228"/>
                      <w:sz w:val="22"/>
                      <w:szCs w:val="22"/>
                      <w:lang w:val="en-US"/>
                    </w:rPr>
                    <w:sym w:font="Wingdings" w:char="F0FC"/>
                  </w:r>
                </w:p>
              </w:tc>
            </w:tr>
            <w:tr w:rsidR="005843D7" w:rsidRPr="00F85539" w:rsidTr="000210CE">
              <w:tc>
                <w:tcPr>
                  <w:tcW w:w="5275" w:type="dxa"/>
                  <w:shd w:val="clear" w:color="auto" w:fill="auto"/>
                </w:tcPr>
                <w:p w:rsidR="005843D7" w:rsidRPr="006E0F77" w:rsidRDefault="005843D7" w:rsidP="006E0F77">
                  <w:pPr>
                    <w:pStyle w:val="Listepuces4"/>
                    <w:numPr>
                      <w:ilvl w:val="0"/>
                      <w:numId w:val="0"/>
                    </w:numPr>
                    <w:rPr>
                      <w:rFonts w:ascii="Calibri" w:hAnsi="Calibri" w:cs="Calibri"/>
                      <w:sz w:val="22"/>
                      <w:szCs w:val="22"/>
                      <w:lang w:val="fr-FR"/>
                    </w:rPr>
                  </w:pPr>
                  <w:r w:rsidRPr="006E0F77">
                    <w:rPr>
                      <w:rStyle w:val="Lienhypertexte"/>
                      <w:rFonts w:ascii="Calibri" w:hAnsi="Calibri" w:cs="Calibri"/>
                      <w:sz w:val="22"/>
                      <w:szCs w:val="22"/>
                      <w:lang w:val="fr-FR"/>
                    </w:rPr>
                    <w:t>H005</w:t>
                  </w:r>
                  <w:r w:rsidR="006E0F77" w:rsidRPr="006E0F77">
                    <w:rPr>
                      <w:rStyle w:val="Lienhypertexte"/>
                      <w:rFonts w:ascii="Calibri" w:hAnsi="Calibri" w:cs="Calibri"/>
                      <w:sz w:val="22"/>
                      <w:szCs w:val="22"/>
                      <w:lang w:val="fr-FR"/>
                    </w:rPr>
                    <w:t xml:space="preserve"> </w:t>
                  </w:r>
                  <w:r w:rsidR="006E0F77" w:rsidRPr="006E0F77">
                    <w:rPr>
                      <w:rStyle w:val="Lienhypertexte"/>
                      <w:rFonts w:ascii="Calibri" w:hAnsi="Calibri"/>
                      <w:sz w:val="22"/>
                      <w:szCs w:val="22"/>
                      <w:lang w:val="fr-FR"/>
                    </w:rPr>
                    <w:t>Demande d’informations sur la résidence</w:t>
                  </w:r>
                </w:p>
              </w:tc>
              <w:tc>
                <w:tcPr>
                  <w:tcW w:w="2551" w:type="dxa"/>
                  <w:shd w:val="clear" w:color="auto" w:fill="FFFFFF" w:themeFill="background1"/>
                </w:tcPr>
                <w:p w:rsidR="005843D7" w:rsidRPr="005843D7" w:rsidRDefault="005843D7" w:rsidP="005843D7">
                  <w:pPr>
                    <w:pStyle w:val="Listepuces4"/>
                    <w:numPr>
                      <w:ilvl w:val="0"/>
                      <w:numId w:val="0"/>
                    </w:numPr>
                    <w:jc w:val="center"/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</w:pPr>
                  <w:r w:rsidRPr="005843D7">
                    <w:rPr>
                      <w:rFonts w:ascii="Calibri" w:hAnsi="Calibri" w:cs="Calibri"/>
                      <w:b/>
                      <w:color w:val="4F6228"/>
                      <w:sz w:val="22"/>
                      <w:szCs w:val="22"/>
                      <w:lang w:val="en-US"/>
                    </w:rPr>
                    <w:sym w:font="Wingdings" w:char="F0FC"/>
                  </w:r>
                </w:p>
              </w:tc>
              <w:tc>
                <w:tcPr>
                  <w:tcW w:w="1843" w:type="dxa"/>
                  <w:shd w:val="clear" w:color="auto" w:fill="FFFFFF" w:themeFill="background1"/>
                </w:tcPr>
                <w:p w:rsidR="005843D7" w:rsidRPr="005843D7" w:rsidRDefault="005843D7" w:rsidP="005843D7">
                  <w:pPr>
                    <w:pStyle w:val="Listepuces4"/>
                    <w:numPr>
                      <w:ilvl w:val="0"/>
                      <w:numId w:val="0"/>
                    </w:numPr>
                    <w:jc w:val="center"/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</w:pPr>
                  <w:r w:rsidRPr="005843D7">
                    <w:rPr>
                      <w:rFonts w:ascii="Calibri" w:hAnsi="Calibri" w:cs="Calibri"/>
                      <w:b/>
                      <w:color w:val="4F6228"/>
                      <w:sz w:val="22"/>
                      <w:szCs w:val="22"/>
                      <w:lang w:val="en-US"/>
                    </w:rPr>
                    <w:sym w:font="Wingdings" w:char="F0FC"/>
                  </w:r>
                </w:p>
              </w:tc>
            </w:tr>
            <w:tr w:rsidR="005843D7" w:rsidRPr="00F85539" w:rsidTr="000210CE">
              <w:tc>
                <w:tcPr>
                  <w:tcW w:w="5275" w:type="dxa"/>
                  <w:shd w:val="clear" w:color="auto" w:fill="auto"/>
                </w:tcPr>
                <w:p w:rsidR="005843D7" w:rsidRPr="006E0F77" w:rsidRDefault="005843D7" w:rsidP="006E0F77">
                  <w:pPr>
                    <w:pStyle w:val="Listepuces4"/>
                    <w:numPr>
                      <w:ilvl w:val="0"/>
                      <w:numId w:val="0"/>
                    </w:numPr>
                    <w:rPr>
                      <w:rFonts w:ascii="Calibri" w:hAnsi="Calibri" w:cs="Calibri"/>
                      <w:sz w:val="22"/>
                      <w:szCs w:val="22"/>
                      <w:lang w:val="fr-FR"/>
                    </w:rPr>
                  </w:pPr>
                  <w:r w:rsidRPr="006E0F77">
                    <w:rPr>
                      <w:rStyle w:val="Lienhypertexte"/>
                      <w:rFonts w:ascii="Calibri" w:hAnsi="Calibri" w:cs="Calibri"/>
                      <w:sz w:val="22"/>
                      <w:szCs w:val="22"/>
                      <w:lang w:val="fr-FR"/>
                    </w:rPr>
                    <w:t>H006</w:t>
                  </w:r>
                  <w:r w:rsidR="000210CE" w:rsidRPr="006E0F77">
                    <w:rPr>
                      <w:rStyle w:val="Lienhypertexte"/>
                      <w:rFonts w:ascii="Calibri" w:hAnsi="Calibri" w:cs="Calibri"/>
                      <w:sz w:val="22"/>
                      <w:szCs w:val="22"/>
                      <w:lang w:val="fr-FR"/>
                    </w:rPr>
                    <w:t xml:space="preserve"> </w:t>
                  </w:r>
                  <w:r w:rsidR="006E0F77" w:rsidRPr="006E0F77">
                    <w:rPr>
                      <w:rStyle w:val="Lienhypertexte"/>
                      <w:rFonts w:ascii="Calibri" w:hAnsi="Calibri"/>
                      <w:sz w:val="22"/>
                      <w:szCs w:val="22"/>
                      <w:lang w:val="fr-FR"/>
                    </w:rPr>
                    <w:t>Réponse à une demande d’informations sur la résidence</w:t>
                  </w:r>
                </w:p>
              </w:tc>
              <w:tc>
                <w:tcPr>
                  <w:tcW w:w="2551" w:type="dxa"/>
                  <w:shd w:val="clear" w:color="auto" w:fill="FFFFFF" w:themeFill="background1"/>
                </w:tcPr>
                <w:p w:rsidR="005843D7" w:rsidRPr="005843D7" w:rsidRDefault="005843D7" w:rsidP="005843D7">
                  <w:pPr>
                    <w:pStyle w:val="Listepuces4"/>
                    <w:numPr>
                      <w:ilvl w:val="0"/>
                      <w:numId w:val="0"/>
                    </w:numPr>
                    <w:jc w:val="center"/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</w:pPr>
                  <w:r w:rsidRPr="005843D7">
                    <w:rPr>
                      <w:rFonts w:ascii="Calibri" w:hAnsi="Calibri" w:cs="Calibri"/>
                      <w:b/>
                      <w:color w:val="4F6228"/>
                      <w:sz w:val="22"/>
                      <w:szCs w:val="22"/>
                      <w:lang w:val="en-US"/>
                    </w:rPr>
                    <w:sym w:font="Wingdings" w:char="F0FC"/>
                  </w:r>
                </w:p>
              </w:tc>
              <w:tc>
                <w:tcPr>
                  <w:tcW w:w="1843" w:type="dxa"/>
                  <w:shd w:val="clear" w:color="auto" w:fill="FFFFFF" w:themeFill="background1"/>
                </w:tcPr>
                <w:p w:rsidR="005843D7" w:rsidRPr="005843D7" w:rsidRDefault="005843D7" w:rsidP="005843D7">
                  <w:pPr>
                    <w:pStyle w:val="Listepuces4"/>
                    <w:numPr>
                      <w:ilvl w:val="0"/>
                      <w:numId w:val="0"/>
                    </w:numPr>
                    <w:jc w:val="center"/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</w:pPr>
                  <w:r w:rsidRPr="005843D7">
                    <w:rPr>
                      <w:rFonts w:ascii="Calibri" w:hAnsi="Calibri" w:cs="Calibri"/>
                      <w:b/>
                      <w:color w:val="4F6228"/>
                      <w:sz w:val="22"/>
                      <w:szCs w:val="22"/>
                      <w:lang w:val="en-US"/>
                    </w:rPr>
                    <w:sym w:font="Wingdings" w:char="F0FC"/>
                  </w:r>
                </w:p>
              </w:tc>
            </w:tr>
          </w:tbl>
          <w:p w:rsidR="005843D7" w:rsidRDefault="005843D7" w:rsidP="00D97815">
            <w:pPr>
              <w:jc w:val="both"/>
              <w:rPr>
                <w:rFonts w:ascii="Calibri" w:eastAsia="Calibri" w:hAnsi="Calibri"/>
                <w:b/>
              </w:rPr>
            </w:pPr>
          </w:p>
          <w:p w:rsidR="00075CE1" w:rsidRPr="00FC756B" w:rsidRDefault="00FC756B" w:rsidP="00D97815">
            <w:pPr>
              <w:spacing w:after="120"/>
              <w:jc w:val="both"/>
              <w:rPr>
                <w:rFonts w:ascii="Calibri" w:eastAsia="Calibri" w:hAnsi="Calibri" w:cs="Calibri"/>
                <w:b/>
                <w:u w:val="single"/>
                <w:lang w:val="fr-FR"/>
              </w:rPr>
            </w:pPr>
            <w:r w:rsidRPr="00BC442F">
              <w:rPr>
                <w:rFonts w:ascii="Calibri" w:eastAsia="Calibri" w:hAnsi="Calibri" w:cs="Calibri"/>
                <w:b/>
                <w:u w:val="single"/>
                <w:lang w:val="fr-FR"/>
              </w:rPr>
              <w:t>Glossaire des termes pertinents utilisés dans le</w:t>
            </w:r>
            <w:r>
              <w:rPr>
                <w:rFonts w:ascii="Calibri" w:eastAsia="Calibri" w:hAnsi="Calibri" w:cs="Calibri"/>
                <w:b/>
                <w:u w:val="single"/>
                <w:lang w:val="fr-FR"/>
              </w:rPr>
              <w:t xml:space="preserve"> sous-processus </w:t>
            </w:r>
            <w:r w:rsidR="00075CE1" w:rsidRPr="00FC756B">
              <w:rPr>
                <w:rFonts w:ascii="Calibri" w:eastAsia="Calibri" w:hAnsi="Calibri" w:cs="Calibri"/>
                <w:b/>
                <w:u w:val="single"/>
                <w:lang w:val="fr-FR"/>
              </w:rPr>
              <w:t>H_BUC_02</w:t>
            </w:r>
            <w:r w:rsidR="005F11A3" w:rsidRPr="00FC756B">
              <w:rPr>
                <w:rFonts w:ascii="Calibri" w:eastAsia="Calibri" w:hAnsi="Calibri" w:cs="Calibri"/>
                <w:b/>
                <w:u w:val="single"/>
                <w:lang w:val="fr-FR"/>
              </w:rPr>
              <w:t>_Subprocess</w:t>
            </w:r>
            <w:r>
              <w:rPr>
                <w:rFonts w:ascii="Calibri" w:eastAsia="Calibri" w:hAnsi="Calibri" w:cs="Calibri"/>
                <w:b/>
                <w:u w:val="single"/>
                <w:lang w:val="fr-FR"/>
              </w:rPr>
              <w:t> 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589"/>
              <w:gridCol w:w="8222"/>
            </w:tblGrid>
            <w:tr w:rsidR="00AA0DD2" w:rsidRPr="00592DC9" w:rsidTr="00DC67DE">
              <w:tc>
                <w:tcPr>
                  <w:tcW w:w="1589" w:type="dxa"/>
                  <w:shd w:val="clear" w:color="auto" w:fill="C6D9F1"/>
                </w:tcPr>
                <w:p w:rsidR="00AA0DD2" w:rsidRPr="00391349" w:rsidRDefault="00AA0DD2" w:rsidP="00BB7F8D">
                  <w:pPr>
                    <w:rPr>
                      <w:rFonts w:ascii="Calibri" w:hAnsi="Calibri" w:cs="Calibri"/>
                      <w:b/>
                      <w:sz w:val="22"/>
                      <w:szCs w:val="22"/>
                      <w:lang w:val="fr-FR"/>
                    </w:rPr>
                  </w:pPr>
                  <w:r w:rsidRPr="00391349">
                    <w:rPr>
                      <w:rFonts w:ascii="Calibri" w:hAnsi="Calibri" w:cs="Calibri"/>
                      <w:b/>
                      <w:sz w:val="22"/>
                      <w:szCs w:val="22"/>
                      <w:lang w:val="fr-FR"/>
                    </w:rPr>
                    <w:t>Dénomination de l‘acteur</w:t>
                  </w:r>
                </w:p>
              </w:tc>
              <w:tc>
                <w:tcPr>
                  <w:tcW w:w="8222" w:type="dxa"/>
                  <w:shd w:val="clear" w:color="auto" w:fill="C6D9F1"/>
                </w:tcPr>
                <w:p w:rsidR="00AA0DD2" w:rsidRPr="00BC442F" w:rsidRDefault="00AA0DD2" w:rsidP="00BB7F8D">
                  <w:pPr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BC442F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Description</w:t>
                  </w:r>
                </w:p>
              </w:tc>
            </w:tr>
            <w:tr w:rsidR="00AA0DD2" w:rsidRPr="00DE3B77" w:rsidTr="00DC67DE">
              <w:tc>
                <w:tcPr>
                  <w:tcW w:w="1589" w:type="dxa"/>
                  <w:shd w:val="clear" w:color="auto" w:fill="auto"/>
                </w:tcPr>
                <w:p w:rsidR="00AA0DD2" w:rsidRPr="00B15001" w:rsidRDefault="00AA0DD2" w:rsidP="00BB7F8D">
                  <w:pPr>
                    <w:rPr>
                      <w:rFonts w:ascii="Calibri" w:hAnsi="Calibri" w:cs="Calibri"/>
                      <w:b/>
                      <w:i/>
                      <w:sz w:val="22"/>
                      <w:szCs w:val="22"/>
                      <w:lang w:val="fr-FR"/>
                    </w:rPr>
                  </w:pPr>
                  <w:r w:rsidRPr="00B15001">
                    <w:rPr>
                      <w:rFonts w:ascii="Calibri" w:hAnsi="Calibri" w:cs="Calibri"/>
                      <w:b/>
                      <w:i/>
                      <w:sz w:val="22"/>
                      <w:szCs w:val="22"/>
                      <w:lang w:val="fr-FR"/>
                    </w:rPr>
                    <w:t xml:space="preserve">Participant déclencheur </w:t>
                  </w:r>
                </w:p>
              </w:tc>
              <w:tc>
                <w:tcPr>
                  <w:tcW w:w="8222" w:type="dxa"/>
                  <w:shd w:val="clear" w:color="auto" w:fill="auto"/>
                </w:tcPr>
                <w:p w:rsidR="00AA0DD2" w:rsidRPr="00902254" w:rsidRDefault="00AA0DD2" w:rsidP="00AA0DD2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  <w:lang w:val="fr-FR"/>
                    </w:rPr>
                  </w:pPr>
                  <w:r w:rsidRPr="00902254">
                    <w:rPr>
                      <w:rFonts w:ascii="Calibri" w:hAnsi="Calibri" w:cs="Calibri"/>
                      <w:sz w:val="22"/>
                      <w:szCs w:val="22"/>
                      <w:lang w:val="fr-FR"/>
                    </w:rPr>
                    <w:t xml:space="preserve">Le participant déclencheur </w:t>
                  </w:r>
                  <w:r>
                    <w:rPr>
                      <w:rFonts w:ascii="Calibri" w:hAnsi="Calibri" w:cs="Calibri"/>
                      <w:sz w:val="22"/>
                      <w:szCs w:val="22"/>
                      <w:lang w:val="fr-FR"/>
                    </w:rPr>
                    <w:t xml:space="preserve">(votre institution) </w:t>
                  </w:r>
                  <w:r w:rsidRPr="00902254">
                    <w:rPr>
                      <w:rFonts w:ascii="Calibri" w:hAnsi="Calibri" w:cs="Calibri"/>
                      <w:sz w:val="22"/>
                      <w:szCs w:val="22"/>
                      <w:lang w:val="fr-FR"/>
                    </w:rPr>
                    <w:t xml:space="preserve">est un participant actif du processus principal qui va initier le présent BUC. </w:t>
                  </w:r>
                  <w:r w:rsidRPr="00A7488C">
                    <w:rPr>
                      <w:rFonts w:ascii="Calibri" w:hAnsi="Calibri" w:cs="Calibri"/>
                      <w:sz w:val="22"/>
                      <w:szCs w:val="22"/>
                      <w:lang w:val="fr-FR"/>
                    </w:rPr>
                    <w:t>Il s’agira d’une institution autorisée à réaliser cette action du fait de son rôle dans le processus principal.</w:t>
                  </w:r>
                  <w:r w:rsidRPr="00D96060"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  <w:lang w:val="fr-FR"/>
                    </w:rPr>
                    <w:t xml:space="preserve"> </w:t>
                  </w:r>
                </w:p>
              </w:tc>
            </w:tr>
            <w:tr w:rsidR="00AA0DD2" w:rsidRPr="00DE3B77" w:rsidTr="00DC67DE">
              <w:tc>
                <w:tcPr>
                  <w:tcW w:w="1589" w:type="dxa"/>
                  <w:shd w:val="clear" w:color="auto" w:fill="auto"/>
                </w:tcPr>
                <w:p w:rsidR="00AA0DD2" w:rsidRPr="00B15001" w:rsidRDefault="00AA0DD2" w:rsidP="00BB7F8D">
                  <w:pPr>
                    <w:rPr>
                      <w:rFonts w:ascii="Calibri" w:hAnsi="Calibri" w:cs="Calibri"/>
                      <w:b/>
                      <w:i/>
                      <w:sz w:val="22"/>
                      <w:szCs w:val="22"/>
                      <w:lang w:val="fr-FR"/>
                    </w:rPr>
                  </w:pPr>
                  <w:r w:rsidRPr="00B15001">
                    <w:rPr>
                      <w:rFonts w:ascii="Calibri" w:hAnsi="Calibri" w:cs="Calibri"/>
                      <w:b/>
                      <w:i/>
                      <w:sz w:val="22"/>
                      <w:szCs w:val="22"/>
                      <w:lang w:val="fr-FR"/>
                    </w:rPr>
                    <w:t xml:space="preserve">Autre(s) participant(s) </w:t>
                  </w:r>
                </w:p>
              </w:tc>
              <w:tc>
                <w:tcPr>
                  <w:tcW w:w="8222" w:type="dxa"/>
                  <w:shd w:val="clear" w:color="auto" w:fill="auto"/>
                </w:tcPr>
                <w:p w:rsidR="00AA0DD2" w:rsidRPr="00902254" w:rsidRDefault="00AA0DD2" w:rsidP="00AA0DD2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  <w:lang w:val="fr-FR"/>
                    </w:rPr>
                  </w:pPr>
                  <w:r w:rsidRPr="00902254">
                    <w:rPr>
                      <w:rFonts w:ascii="Calibri" w:hAnsi="Calibri" w:cs="Calibri"/>
                      <w:sz w:val="22"/>
                      <w:szCs w:val="22"/>
                      <w:lang w:val="fr-FR"/>
                    </w:rPr>
                    <w:t xml:space="preserve">Les autres participants représentent tous les autres participants actifs du processus principal. </w:t>
                  </w:r>
                  <w:r w:rsidRPr="00A7488C">
                    <w:rPr>
                      <w:rFonts w:ascii="Calibri" w:hAnsi="Calibri" w:cs="Calibri"/>
                      <w:sz w:val="22"/>
                      <w:szCs w:val="22"/>
                      <w:lang w:val="fr-FR"/>
                    </w:rPr>
                    <w:t>Selon ce qui aura été déterminé par le processus principal, ce sous-processus comptera une ou plusieurs institutions.</w:t>
                  </w:r>
                </w:p>
              </w:tc>
            </w:tr>
          </w:tbl>
          <w:p w:rsidR="00075CE1" w:rsidRPr="00AA0DD2" w:rsidRDefault="00075CE1" w:rsidP="0042620D">
            <w:pPr>
              <w:jc w:val="both"/>
              <w:rPr>
                <w:rFonts w:ascii="Calibri" w:eastAsia="Calibri" w:hAnsi="Calibri" w:cs="Calibri"/>
                <w:lang w:val="fr-FR"/>
              </w:rPr>
            </w:pPr>
          </w:p>
          <w:p w:rsidR="00075CE1" w:rsidRPr="00173312" w:rsidRDefault="00E27D8F" w:rsidP="0042620D">
            <w:pPr>
              <w:jc w:val="both"/>
              <w:rPr>
                <w:rFonts w:ascii="Calibri" w:eastAsia="Calibri" w:hAnsi="Calibri" w:cs="Calibri"/>
                <w:b/>
                <w:u w:val="single"/>
                <w:lang w:val="fr-FR"/>
              </w:rPr>
            </w:pPr>
            <w:r w:rsidRPr="00173312">
              <w:rPr>
                <w:rFonts w:ascii="Calibri" w:eastAsia="Calibri" w:hAnsi="Calibri" w:cs="Calibri"/>
                <w:b/>
                <w:u w:val="single"/>
                <w:lang w:val="fr-FR"/>
              </w:rPr>
              <w:t>S</w:t>
            </w:r>
            <w:r w:rsidR="00173312" w:rsidRPr="00173312">
              <w:rPr>
                <w:rFonts w:ascii="Calibri" w:eastAsia="Calibri" w:hAnsi="Calibri" w:cs="Calibri"/>
                <w:b/>
                <w:u w:val="single"/>
                <w:lang w:val="fr-FR"/>
              </w:rPr>
              <w:t>cénario</w:t>
            </w:r>
            <w:r w:rsidR="00173312">
              <w:rPr>
                <w:rFonts w:ascii="Calibri" w:eastAsia="Calibri" w:hAnsi="Calibri" w:cs="Calibri"/>
                <w:b/>
                <w:u w:val="single"/>
                <w:lang w:val="fr-FR"/>
              </w:rPr>
              <w:t> :</w:t>
            </w:r>
          </w:p>
          <w:p w:rsidR="00785EB9" w:rsidRPr="00940236" w:rsidRDefault="00940236" w:rsidP="0042620D">
            <w:pPr>
              <w:jc w:val="both"/>
              <w:rPr>
                <w:rFonts w:ascii="Calibri" w:eastAsia="Calibri" w:hAnsi="Calibri" w:cs="Calibri"/>
                <w:lang w:val="fr-FR"/>
              </w:rPr>
            </w:pPr>
            <w:r w:rsidRPr="00940236">
              <w:rPr>
                <w:rFonts w:ascii="Calibri" w:eastAsia="Calibri" w:hAnsi="Calibri" w:cs="Calibri"/>
                <w:lang w:val="fr-FR"/>
              </w:rPr>
              <w:t xml:space="preserve">Selon les informations </w:t>
            </w:r>
            <w:r w:rsidR="00987198">
              <w:rPr>
                <w:rFonts w:ascii="Calibri" w:eastAsia="Calibri" w:hAnsi="Calibri" w:cs="Calibri"/>
                <w:lang w:val="fr-FR"/>
              </w:rPr>
              <w:t xml:space="preserve">requises </w:t>
            </w:r>
            <w:r w:rsidRPr="00940236">
              <w:rPr>
                <w:rFonts w:ascii="Calibri" w:eastAsia="Calibri" w:hAnsi="Calibri" w:cs="Calibri"/>
                <w:lang w:val="fr-FR"/>
              </w:rPr>
              <w:t xml:space="preserve">ou l’action </w:t>
            </w:r>
            <w:r w:rsidR="00987198">
              <w:rPr>
                <w:rFonts w:ascii="Calibri" w:eastAsia="Calibri" w:hAnsi="Calibri" w:cs="Calibri"/>
                <w:lang w:val="fr-FR"/>
              </w:rPr>
              <w:t>à réaliser</w:t>
            </w:r>
            <w:r w:rsidRPr="00940236">
              <w:rPr>
                <w:rFonts w:ascii="Calibri" w:eastAsia="Calibri" w:hAnsi="Calibri" w:cs="Calibri"/>
                <w:lang w:val="fr-FR"/>
              </w:rPr>
              <w:t xml:space="preserve">, vous pouvez choisir l’une des trois options détaillées ci-après. </w:t>
            </w:r>
            <w:r>
              <w:rPr>
                <w:rFonts w:ascii="Calibri" w:eastAsia="Calibri" w:hAnsi="Calibri" w:cs="Calibri"/>
                <w:lang w:val="fr-FR"/>
              </w:rPr>
              <w:t xml:space="preserve">Vous pouvez également exécuter toutes les options l’une après l’autre au besoin. </w:t>
            </w:r>
          </w:p>
          <w:p w:rsidR="00823A4F" w:rsidRPr="00940236" w:rsidRDefault="00823A4F" w:rsidP="0042620D">
            <w:pPr>
              <w:jc w:val="both"/>
              <w:rPr>
                <w:rFonts w:ascii="Calibri" w:eastAsia="Calibri" w:hAnsi="Calibri" w:cs="Calibri"/>
                <w:lang w:val="fr-FR"/>
              </w:rPr>
            </w:pPr>
          </w:p>
          <w:p w:rsidR="009D4D36" w:rsidRPr="00BB7F8D" w:rsidRDefault="00785EB9" w:rsidP="00D97815">
            <w:pPr>
              <w:spacing w:after="120"/>
              <w:jc w:val="both"/>
              <w:rPr>
                <w:rFonts w:ascii="Calibri" w:eastAsia="Calibri" w:hAnsi="Calibri" w:cs="Calibri"/>
                <w:lang w:val="fr-FR"/>
              </w:rPr>
            </w:pPr>
            <w:r w:rsidRPr="00BB7F8D">
              <w:rPr>
                <w:rFonts w:ascii="Calibri" w:eastAsia="Calibri" w:hAnsi="Calibri" w:cs="Calibri"/>
                <w:b/>
                <w:lang w:val="fr-FR"/>
              </w:rPr>
              <w:t>1</w:t>
            </w:r>
            <w:r w:rsidRPr="00BB7F8D">
              <w:rPr>
                <w:rFonts w:ascii="Calibri" w:eastAsia="Calibri" w:hAnsi="Calibri" w:cs="Calibri"/>
                <w:lang w:val="fr-FR"/>
              </w:rPr>
              <w:t xml:space="preserve">. </w:t>
            </w:r>
            <w:r w:rsidR="00BB7F8D" w:rsidRPr="00BB7F8D">
              <w:rPr>
                <w:rFonts w:ascii="Calibri" w:eastAsia="Calibri" w:hAnsi="Calibri" w:cs="Calibri"/>
                <w:lang w:val="fr-FR"/>
              </w:rPr>
              <w:t xml:space="preserve">Si vous avez besoin </w:t>
            </w:r>
            <w:r w:rsidR="00BB7F8D" w:rsidRPr="00BB7F8D">
              <w:rPr>
                <w:rFonts w:ascii="Calibri" w:eastAsia="Calibri" w:hAnsi="Calibri" w:cs="Calibri"/>
                <w:b/>
                <w:u w:val="single"/>
                <w:lang w:val="fr-FR"/>
              </w:rPr>
              <w:t>de demander des informations relatives à la résidence</w:t>
            </w:r>
            <w:r w:rsidR="00BB7F8D" w:rsidRPr="00BB7F8D">
              <w:rPr>
                <w:rFonts w:ascii="Calibri" w:eastAsia="Calibri" w:hAnsi="Calibri" w:cs="Calibri"/>
                <w:lang w:val="fr-FR"/>
              </w:rPr>
              <w:t>,</w:t>
            </w:r>
            <w:r w:rsidR="00BB7F8D">
              <w:rPr>
                <w:rFonts w:ascii="Calibri" w:eastAsia="Calibri" w:hAnsi="Calibri" w:cs="Calibri"/>
                <w:lang w:val="fr-FR"/>
              </w:rPr>
              <w:t xml:space="preserve"> vous devez compléter un SED H005 de « Demande d’informations sur la résidence » en renseignant toutes les informations requises et l’envoyer, accompagné de toutes les pièces jointes le cas échéant, à </w:t>
            </w:r>
            <w:proofErr w:type="gramStart"/>
            <w:r w:rsidR="00BB7F8D">
              <w:rPr>
                <w:rFonts w:ascii="Calibri" w:eastAsia="Calibri" w:hAnsi="Calibri" w:cs="Calibri"/>
                <w:lang w:val="fr-FR"/>
              </w:rPr>
              <w:t>l’(</w:t>
            </w:r>
            <w:proofErr w:type="gramEnd"/>
            <w:r w:rsidR="00BB7F8D">
              <w:rPr>
                <w:rFonts w:ascii="Calibri" w:eastAsia="Calibri" w:hAnsi="Calibri" w:cs="Calibri"/>
                <w:lang w:val="fr-FR"/>
              </w:rPr>
              <w:t xml:space="preserve">aux) autre(s) participant(s). Chaque participant examine le </w:t>
            </w:r>
            <w:r w:rsidR="00BB7F8D" w:rsidRPr="00A316A1">
              <w:rPr>
                <w:rStyle w:val="Lienhypertexte"/>
                <w:rFonts w:ascii="Calibri" w:eastAsia="Calibri" w:hAnsi="Calibri" w:cs="Calibri"/>
                <w:lang w:val="fr-FR"/>
              </w:rPr>
              <w:t>SED H005</w:t>
            </w:r>
            <w:r w:rsidR="00BB7F8D">
              <w:rPr>
                <w:rFonts w:ascii="Calibri" w:eastAsia="Calibri" w:hAnsi="Calibri" w:cs="Calibri"/>
                <w:lang w:val="fr-FR"/>
              </w:rPr>
              <w:t xml:space="preserve"> et les pièces jointes reçus et envoie un </w:t>
            </w:r>
            <w:r w:rsidR="00BB7F8D" w:rsidRPr="00A316A1">
              <w:rPr>
                <w:rStyle w:val="Lienhypertexte"/>
                <w:rFonts w:ascii="Calibri" w:eastAsia="Calibri" w:hAnsi="Calibri" w:cs="Calibri"/>
                <w:lang w:val="fr-FR"/>
              </w:rPr>
              <w:t>SED H006</w:t>
            </w:r>
            <w:r w:rsidR="00BB7F8D">
              <w:rPr>
                <w:rFonts w:ascii="Calibri" w:eastAsia="Calibri" w:hAnsi="Calibri" w:cs="Calibri"/>
                <w:lang w:val="fr-FR"/>
              </w:rPr>
              <w:t xml:space="preserve"> de « Réponse à une demande d’informations sur la résidence », accompagné de toutes les pièces jointes le cas échéant, à tous les participants. Une fois tous les SED de réponse H006 reçus, vous </w:t>
            </w:r>
            <w:r w:rsidR="00A87A0E">
              <w:rPr>
                <w:rFonts w:ascii="Calibri" w:eastAsia="Calibri" w:hAnsi="Calibri" w:cs="Calibri"/>
                <w:lang w:val="fr-FR"/>
              </w:rPr>
              <w:t>pourrez</w:t>
            </w:r>
            <w:r w:rsidR="00BB7F8D">
              <w:rPr>
                <w:rFonts w:ascii="Calibri" w:eastAsia="Calibri" w:hAnsi="Calibri" w:cs="Calibri"/>
                <w:lang w:val="fr-FR"/>
              </w:rPr>
              <w:t xml:space="preserve"> déterminer le lieu de résidence de la personne </w:t>
            </w:r>
            <w:r w:rsidR="00240B56">
              <w:rPr>
                <w:rFonts w:ascii="Calibri" w:eastAsia="Calibri" w:hAnsi="Calibri" w:cs="Calibri"/>
                <w:lang w:val="fr-FR"/>
              </w:rPr>
              <w:t>sur la base</w:t>
            </w:r>
            <w:r w:rsidR="00BB7F8D">
              <w:rPr>
                <w:rFonts w:ascii="Calibri" w:eastAsia="Calibri" w:hAnsi="Calibri" w:cs="Calibri"/>
                <w:lang w:val="fr-FR"/>
              </w:rPr>
              <w:t xml:space="preserve"> des informations transmises. </w:t>
            </w:r>
          </w:p>
          <w:p w:rsidR="0042620D" w:rsidRPr="00BB7F8D" w:rsidRDefault="00785EB9" w:rsidP="00D97815">
            <w:pPr>
              <w:spacing w:after="120"/>
              <w:jc w:val="both"/>
              <w:rPr>
                <w:rFonts w:ascii="Calibri" w:eastAsia="Calibri" w:hAnsi="Calibri" w:cs="Calibri"/>
                <w:lang w:val="fr-FR"/>
              </w:rPr>
            </w:pPr>
            <w:r w:rsidRPr="00A87A0E">
              <w:rPr>
                <w:rFonts w:ascii="Calibri" w:eastAsia="Calibri" w:hAnsi="Calibri" w:cs="Calibri"/>
                <w:b/>
                <w:lang w:val="fr-FR"/>
              </w:rPr>
              <w:lastRenderedPageBreak/>
              <w:t>2.</w:t>
            </w:r>
            <w:r w:rsidR="00BB7F8D" w:rsidRPr="00A87A0E">
              <w:rPr>
                <w:rFonts w:ascii="Calibri" w:eastAsia="Calibri" w:hAnsi="Calibri" w:cs="Calibri"/>
                <w:lang w:val="fr-FR"/>
              </w:rPr>
              <w:t xml:space="preserve"> </w:t>
            </w:r>
            <w:r w:rsidR="00BB7F8D" w:rsidRPr="00BB7F8D">
              <w:rPr>
                <w:rFonts w:ascii="Calibri" w:eastAsia="Calibri" w:hAnsi="Calibri" w:cs="Calibri"/>
                <w:lang w:val="fr-FR"/>
              </w:rPr>
              <w:t xml:space="preserve">Si vous avez besoin de </w:t>
            </w:r>
            <w:r w:rsidR="00BB7F8D" w:rsidRPr="00A87A0E">
              <w:rPr>
                <w:rFonts w:ascii="Calibri" w:eastAsia="Calibri" w:hAnsi="Calibri" w:cs="Calibri"/>
                <w:b/>
                <w:u w:val="single"/>
                <w:lang w:val="fr-FR"/>
              </w:rPr>
              <w:t>notifier l’Etat de résidence</w:t>
            </w:r>
            <w:r w:rsidR="00BB7F8D" w:rsidRPr="00BB7F8D">
              <w:rPr>
                <w:rFonts w:ascii="Calibri" w:eastAsia="Calibri" w:hAnsi="Calibri" w:cs="Calibri"/>
                <w:lang w:val="fr-FR"/>
              </w:rPr>
              <w:t xml:space="preserve">, vous devez compléter un </w:t>
            </w:r>
            <w:r w:rsidR="00BB7F8D" w:rsidRPr="00A87A0E">
              <w:rPr>
                <w:rStyle w:val="Lienhypertexte"/>
                <w:rFonts w:ascii="Calibri" w:eastAsia="Calibri" w:hAnsi="Calibri" w:cs="Calibri"/>
                <w:lang w:val="fr-FR"/>
              </w:rPr>
              <w:t>SED H003</w:t>
            </w:r>
            <w:r w:rsidR="00BB7F8D" w:rsidRPr="00BB7F8D">
              <w:rPr>
                <w:rFonts w:ascii="Calibri" w:eastAsia="Calibri" w:hAnsi="Calibri" w:cs="Calibri"/>
                <w:lang w:val="fr-FR"/>
              </w:rPr>
              <w:t xml:space="preserve"> de </w:t>
            </w:r>
            <w:r w:rsidR="00C8580F">
              <w:rPr>
                <w:rFonts w:ascii="Calibri" w:eastAsia="Calibri" w:hAnsi="Calibri" w:cs="Calibri"/>
                <w:lang w:val="fr-FR"/>
              </w:rPr>
              <w:t>« </w:t>
            </w:r>
            <w:r w:rsidR="00BB7F8D" w:rsidRPr="00BB7F8D">
              <w:rPr>
                <w:rFonts w:ascii="Calibri" w:eastAsia="Calibri" w:hAnsi="Calibri" w:cs="Calibri"/>
                <w:lang w:val="fr-FR"/>
              </w:rPr>
              <w:t>Proposition/Notification conc</w:t>
            </w:r>
            <w:r w:rsidR="00A87A0E">
              <w:rPr>
                <w:rFonts w:ascii="Calibri" w:eastAsia="Calibri" w:hAnsi="Calibri" w:cs="Calibri"/>
                <w:lang w:val="fr-FR"/>
              </w:rPr>
              <w:t>ernant l’Etat de résidence</w:t>
            </w:r>
            <w:r w:rsidR="00C8580F">
              <w:rPr>
                <w:rFonts w:ascii="Calibri" w:eastAsia="Calibri" w:hAnsi="Calibri" w:cs="Calibri"/>
                <w:lang w:val="fr-FR"/>
              </w:rPr>
              <w:t> »</w:t>
            </w:r>
            <w:r w:rsidR="00BB7F8D">
              <w:rPr>
                <w:rFonts w:ascii="Calibri" w:eastAsia="Calibri" w:hAnsi="Calibri" w:cs="Calibri"/>
                <w:lang w:val="fr-FR"/>
              </w:rPr>
              <w:t xml:space="preserve"> en renseignant toutes les informations requises et l’envoyer </w:t>
            </w:r>
            <w:r w:rsidR="00A87A0E">
              <w:rPr>
                <w:rFonts w:ascii="Calibri" w:eastAsia="Calibri" w:hAnsi="Calibri" w:cs="Calibri"/>
                <w:lang w:val="fr-FR"/>
              </w:rPr>
              <w:t xml:space="preserve">à </w:t>
            </w:r>
            <w:proofErr w:type="gramStart"/>
            <w:r w:rsidR="00A87A0E">
              <w:rPr>
                <w:rFonts w:ascii="Calibri" w:eastAsia="Calibri" w:hAnsi="Calibri" w:cs="Calibri"/>
                <w:lang w:val="fr-FR"/>
              </w:rPr>
              <w:t>l’(</w:t>
            </w:r>
            <w:proofErr w:type="gramEnd"/>
            <w:r w:rsidR="00A87A0E">
              <w:rPr>
                <w:rFonts w:ascii="Calibri" w:eastAsia="Calibri" w:hAnsi="Calibri" w:cs="Calibri"/>
                <w:lang w:val="fr-FR"/>
              </w:rPr>
              <w:t xml:space="preserve">aux) autre(s) participant(s). Chaque participant examine le SED H003 reçu et envoie un </w:t>
            </w:r>
            <w:r w:rsidR="00A87A0E" w:rsidRPr="00A316A1">
              <w:rPr>
                <w:rStyle w:val="Lienhypertexte"/>
                <w:rFonts w:ascii="Calibri" w:eastAsia="Calibri" w:hAnsi="Calibri" w:cs="Calibri"/>
                <w:lang w:val="fr-FR"/>
              </w:rPr>
              <w:t>SED H004</w:t>
            </w:r>
            <w:r w:rsidR="00A87A0E">
              <w:rPr>
                <w:rFonts w:ascii="Calibri" w:eastAsia="Calibri" w:hAnsi="Calibri" w:cs="Calibri"/>
                <w:lang w:val="fr-FR"/>
              </w:rPr>
              <w:t xml:space="preserve"> de « Réponse à une proposition concernant l’Etat de résidence</w:t>
            </w:r>
            <w:r w:rsidR="00C8580F">
              <w:rPr>
                <w:rFonts w:ascii="Calibri" w:eastAsia="Calibri" w:hAnsi="Calibri" w:cs="Calibri"/>
                <w:lang w:val="fr-FR"/>
              </w:rPr>
              <w:t> »</w:t>
            </w:r>
            <w:r w:rsidR="00A87A0E">
              <w:rPr>
                <w:rFonts w:ascii="Calibri" w:eastAsia="Calibri" w:hAnsi="Calibri" w:cs="Calibri"/>
                <w:lang w:val="fr-FR"/>
              </w:rPr>
              <w:t xml:space="preserve">. </w:t>
            </w:r>
          </w:p>
          <w:p w:rsidR="00E27D8F" w:rsidRPr="00A87A0E" w:rsidRDefault="00785EB9" w:rsidP="00D97815">
            <w:pPr>
              <w:spacing w:after="120"/>
              <w:jc w:val="both"/>
              <w:rPr>
                <w:rFonts w:ascii="Calibri" w:eastAsia="Calibri" w:hAnsi="Calibri" w:cs="Calibri"/>
                <w:lang w:val="fr-FR"/>
              </w:rPr>
            </w:pPr>
            <w:r w:rsidRPr="00A87A0E">
              <w:rPr>
                <w:rFonts w:ascii="Calibri" w:eastAsia="Calibri" w:hAnsi="Calibri" w:cs="Calibri"/>
                <w:b/>
                <w:lang w:val="fr-FR"/>
              </w:rPr>
              <w:t>3.</w:t>
            </w:r>
            <w:r w:rsidRPr="00A87A0E">
              <w:rPr>
                <w:rFonts w:ascii="Calibri" w:eastAsia="Calibri" w:hAnsi="Calibri" w:cs="Calibri"/>
                <w:lang w:val="fr-FR"/>
              </w:rPr>
              <w:t xml:space="preserve"> </w:t>
            </w:r>
            <w:r w:rsidR="00A87A0E" w:rsidRPr="00A87A0E">
              <w:rPr>
                <w:rFonts w:ascii="Calibri" w:eastAsia="Calibri" w:hAnsi="Calibri" w:cs="Calibri"/>
                <w:lang w:val="fr-FR"/>
              </w:rPr>
              <w:t xml:space="preserve">Si vous avez besoin </w:t>
            </w:r>
            <w:r w:rsidR="00A87A0E" w:rsidRPr="00A87A0E">
              <w:rPr>
                <w:rFonts w:ascii="Calibri" w:eastAsia="Calibri" w:hAnsi="Calibri" w:cs="Calibri"/>
                <w:b/>
                <w:u w:val="single"/>
                <w:lang w:val="fr-FR"/>
              </w:rPr>
              <w:t>d’envoyer une réponse à une proposition concernant l’Etat de résidence/Désaccord avec la décision concernant l’Etat de résidence</w:t>
            </w:r>
            <w:r w:rsidR="00A87A0E" w:rsidRPr="00A87A0E">
              <w:rPr>
                <w:rFonts w:eastAsia="Calibri" w:cs="Calibri"/>
                <w:lang w:val="fr-FR"/>
              </w:rPr>
              <w:t xml:space="preserve">, </w:t>
            </w:r>
            <w:r w:rsidR="00A87A0E" w:rsidRPr="00A87A0E">
              <w:rPr>
                <w:rFonts w:ascii="Calibri" w:eastAsia="Calibri" w:hAnsi="Calibri" w:cs="Calibri"/>
                <w:lang w:val="fr-FR"/>
              </w:rPr>
              <w:t xml:space="preserve">vous devez compléter un </w:t>
            </w:r>
            <w:r w:rsidR="00A87A0E" w:rsidRPr="00A87A0E">
              <w:rPr>
                <w:rStyle w:val="Lienhypertexte"/>
                <w:rFonts w:ascii="Calibri" w:eastAsia="Calibri" w:hAnsi="Calibri" w:cs="Calibri"/>
                <w:lang w:val="fr-FR"/>
              </w:rPr>
              <w:t>SED H004</w:t>
            </w:r>
            <w:r w:rsidR="00A87A0E" w:rsidRPr="00A87A0E">
              <w:rPr>
                <w:rFonts w:ascii="Calibri" w:eastAsia="Calibri" w:hAnsi="Calibri" w:cs="Calibri"/>
                <w:lang w:val="fr-FR"/>
              </w:rPr>
              <w:t xml:space="preserve"> de « Réponse à une proposition concernant l’Etat de résidence » en renseignant toutes les informations requises et l’envoyer à </w:t>
            </w:r>
            <w:proofErr w:type="gramStart"/>
            <w:r w:rsidR="00A87A0E" w:rsidRPr="00A87A0E">
              <w:rPr>
                <w:rFonts w:ascii="Calibri" w:eastAsia="Calibri" w:hAnsi="Calibri" w:cs="Calibri"/>
                <w:lang w:val="fr-FR"/>
              </w:rPr>
              <w:t>l’(</w:t>
            </w:r>
            <w:proofErr w:type="gramEnd"/>
            <w:r w:rsidR="00A87A0E" w:rsidRPr="00A87A0E">
              <w:rPr>
                <w:rFonts w:ascii="Calibri" w:eastAsia="Calibri" w:hAnsi="Calibri" w:cs="Calibri"/>
                <w:lang w:val="fr-FR"/>
              </w:rPr>
              <w:t xml:space="preserve">aux) autre(s) participant(s). Chaque participant reçoit et étudie le SED H004. </w:t>
            </w:r>
          </w:p>
          <w:p w:rsidR="00E27D8F" w:rsidRPr="001D77C8" w:rsidRDefault="001D77C8" w:rsidP="0042620D">
            <w:pPr>
              <w:jc w:val="both"/>
              <w:rPr>
                <w:rFonts w:ascii="Calibri" w:eastAsia="Calibri" w:hAnsi="Calibri" w:cs="Calibri"/>
                <w:b/>
                <w:u w:val="single"/>
                <w:lang w:val="fr-FR"/>
              </w:rPr>
            </w:pPr>
            <w:r>
              <w:rPr>
                <w:rFonts w:ascii="Calibri" w:eastAsia="Calibri" w:hAnsi="Calibri" w:cs="Calibri"/>
                <w:b/>
                <w:u w:val="single"/>
                <w:lang w:val="fr-FR"/>
              </w:rPr>
              <w:t>Contraintes :</w:t>
            </w:r>
          </w:p>
          <w:p w:rsidR="00AC44C8" w:rsidRPr="001D77C8" w:rsidRDefault="00AC44C8" w:rsidP="00AC44C8">
            <w:pPr>
              <w:jc w:val="both"/>
              <w:rPr>
                <w:rFonts w:ascii="Calibri" w:hAnsi="Calibri"/>
                <w:lang w:val="fr-FR"/>
              </w:rPr>
            </w:pPr>
            <w:r w:rsidRPr="001D77C8">
              <w:rPr>
                <w:rFonts w:ascii="Calibri" w:hAnsi="Calibri"/>
                <w:lang w:val="fr-FR"/>
              </w:rPr>
              <w:t xml:space="preserve">- </w:t>
            </w:r>
            <w:r w:rsidR="001D77C8" w:rsidRPr="001D77C8">
              <w:rPr>
                <w:rFonts w:ascii="Calibri" w:hAnsi="Calibri"/>
                <w:lang w:val="fr-FR"/>
              </w:rPr>
              <w:t xml:space="preserve">Les SED H003 et H004 peuvent être envoyés plusieurs fois. </w:t>
            </w:r>
          </w:p>
          <w:p w:rsidR="00E27D8F" w:rsidRPr="001D77C8" w:rsidRDefault="00AC44C8" w:rsidP="000B1E49">
            <w:pPr>
              <w:spacing w:after="120"/>
              <w:jc w:val="both"/>
              <w:rPr>
                <w:rFonts w:ascii="Calibri" w:hAnsi="Calibri"/>
                <w:lang w:val="fr-FR"/>
              </w:rPr>
            </w:pPr>
            <w:r w:rsidRPr="001D77C8">
              <w:rPr>
                <w:rFonts w:ascii="Calibri" w:hAnsi="Calibri"/>
                <w:lang w:val="fr-FR"/>
              </w:rPr>
              <w:t xml:space="preserve">- </w:t>
            </w:r>
            <w:r w:rsidR="001D77C8" w:rsidRPr="001D77C8">
              <w:rPr>
                <w:rFonts w:ascii="Calibri" w:hAnsi="Calibri"/>
                <w:lang w:val="fr-FR"/>
              </w:rPr>
              <w:t xml:space="preserve">Les SED H003, H004 et H005 doivent être envoyés à tous les autres participants, le SED H006 doit être envoyé au participant ayant effectué la demande d’informations. </w:t>
            </w:r>
          </w:p>
          <w:p w:rsidR="00120184" w:rsidRPr="001D77C8" w:rsidRDefault="00120184" w:rsidP="000B1E49">
            <w:pPr>
              <w:spacing w:after="120"/>
              <w:jc w:val="both"/>
              <w:rPr>
                <w:rFonts w:ascii="Calibri" w:hAnsi="Calibri"/>
                <w:lang w:val="fr-FR"/>
              </w:rPr>
            </w:pPr>
          </w:p>
          <w:p w:rsidR="00120184" w:rsidRPr="001D77C8" w:rsidRDefault="00A87A0E" w:rsidP="00120184">
            <w:pPr>
              <w:jc w:val="both"/>
              <w:rPr>
                <w:rFonts w:ascii="Calibri" w:eastAsia="Calibri" w:hAnsi="Calibri"/>
                <w:b/>
                <w:u w:val="single"/>
                <w:lang w:val="fr-FR"/>
              </w:rPr>
            </w:pPr>
            <w:r w:rsidRPr="001D77C8">
              <w:rPr>
                <w:rFonts w:ascii="Calibri" w:eastAsia="Calibri" w:hAnsi="Calibri"/>
                <w:b/>
                <w:u w:val="single"/>
                <w:lang w:val="fr-FR"/>
              </w:rPr>
              <w:t xml:space="preserve">Processus </w:t>
            </w:r>
            <w:r w:rsidR="001D77C8" w:rsidRPr="001D77C8">
              <w:rPr>
                <w:rFonts w:ascii="Calibri" w:eastAsia="Calibri" w:hAnsi="Calibri"/>
                <w:b/>
                <w:u w:val="single"/>
                <w:lang w:val="fr-FR"/>
              </w:rPr>
              <w:t>métier</w:t>
            </w:r>
            <w:r w:rsidR="001D77C8">
              <w:rPr>
                <w:rFonts w:ascii="Calibri" w:eastAsia="Calibri" w:hAnsi="Calibri"/>
                <w:b/>
                <w:u w:val="single"/>
                <w:lang w:val="fr-FR"/>
              </w:rPr>
              <w:t> :</w:t>
            </w:r>
          </w:p>
          <w:p w:rsidR="00120184" w:rsidRDefault="00120184" w:rsidP="000B1E49">
            <w:pPr>
              <w:spacing w:after="120"/>
              <w:jc w:val="both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eastAsia="Calibri" w:hAnsi="Calibri" w:cs="Calibri"/>
                <w:noProof/>
                <w:lang w:val="fr-FR" w:eastAsia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54610</wp:posOffset>
                  </wp:positionH>
                  <wp:positionV relativeFrom="paragraph">
                    <wp:posOffset>57785</wp:posOffset>
                  </wp:positionV>
                  <wp:extent cx="5058410" cy="3162300"/>
                  <wp:effectExtent l="0" t="0" r="889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_BUC_02_Sub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8410" cy="316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20184" w:rsidRDefault="00120184" w:rsidP="000B1E49">
            <w:pPr>
              <w:spacing w:after="120"/>
              <w:jc w:val="both"/>
              <w:rPr>
                <w:rFonts w:ascii="Calibri" w:eastAsia="Calibri" w:hAnsi="Calibri" w:cs="Calibri"/>
                <w:b/>
                <w:u w:val="single"/>
              </w:rPr>
            </w:pPr>
          </w:p>
          <w:p w:rsidR="00120184" w:rsidRDefault="00120184" w:rsidP="000B1E49">
            <w:pPr>
              <w:spacing w:after="120"/>
              <w:jc w:val="both"/>
              <w:rPr>
                <w:rFonts w:ascii="Calibri" w:eastAsia="Calibri" w:hAnsi="Calibri" w:cs="Calibri"/>
                <w:b/>
                <w:u w:val="single"/>
              </w:rPr>
            </w:pPr>
          </w:p>
          <w:p w:rsidR="00120184" w:rsidRDefault="00120184" w:rsidP="000B1E49">
            <w:pPr>
              <w:spacing w:after="120"/>
              <w:jc w:val="both"/>
              <w:rPr>
                <w:rFonts w:ascii="Calibri" w:eastAsia="Calibri" w:hAnsi="Calibri" w:cs="Calibri"/>
                <w:b/>
                <w:u w:val="single"/>
              </w:rPr>
            </w:pPr>
          </w:p>
          <w:p w:rsidR="00120184" w:rsidRDefault="00120184" w:rsidP="000B1E49">
            <w:pPr>
              <w:spacing w:after="120"/>
              <w:jc w:val="both"/>
              <w:rPr>
                <w:rFonts w:ascii="Calibri" w:eastAsia="Calibri" w:hAnsi="Calibri" w:cs="Calibri"/>
                <w:b/>
                <w:u w:val="single"/>
              </w:rPr>
            </w:pPr>
          </w:p>
          <w:p w:rsidR="00120184" w:rsidRDefault="00120184" w:rsidP="000B1E49">
            <w:pPr>
              <w:spacing w:after="120"/>
              <w:jc w:val="both"/>
              <w:rPr>
                <w:rFonts w:ascii="Calibri" w:eastAsia="Calibri" w:hAnsi="Calibri" w:cs="Calibri"/>
                <w:b/>
                <w:u w:val="single"/>
              </w:rPr>
            </w:pPr>
          </w:p>
          <w:p w:rsidR="00120184" w:rsidRDefault="00120184" w:rsidP="000B1E49">
            <w:pPr>
              <w:spacing w:after="120"/>
              <w:jc w:val="both"/>
              <w:rPr>
                <w:rFonts w:ascii="Calibri" w:eastAsia="Calibri" w:hAnsi="Calibri" w:cs="Calibri"/>
                <w:b/>
                <w:u w:val="single"/>
              </w:rPr>
            </w:pPr>
          </w:p>
          <w:p w:rsidR="00120184" w:rsidRDefault="00120184" w:rsidP="000B1E49">
            <w:pPr>
              <w:spacing w:after="120"/>
              <w:jc w:val="both"/>
              <w:rPr>
                <w:rFonts w:ascii="Calibri" w:eastAsia="Calibri" w:hAnsi="Calibri" w:cs="Calibri"/>
                <w:b/>
                <w:u w:val="single"/>
              </w:rPr>
            </w:pPr>
          </w:p>
          <w:p w:rsidR="00120184" w:rsidRDefault="00120184" w:rsidP="000B1E49">
            <w:pPr>
              <w:spacing w:after="120"/>
              <w:jc w:val="both"/>
              <w:rPr>
                <w:rFonts w:ascii="Calibri" w:eastAsia="Calibri" w:hAnsi="Calibri" w:cs="Calibri"/>
                <w:b/>
                <w:u w:val="single"/>
              </w:rPr>
            </w:pPr>
          </w:p>
          <w:p w:rsidR="00120184" w:rsidRDefault="00120184" w:rsidP="000B1E49">
            <w:pPr>
              <w:spacing w:after="120"/>
              <w:jc w:val="both"/>
              <w:rPr>
                <w:rFonts w:ascii="Calibri" w:eastAsia="Calibri" w:hAnsi="Calibri" w:cs="Calibri"/>
                <w:b/>
                <w:u w:val="single"/>
              </w:rPr>
            </w:pPr>
          </w:p>
          <w:p w:rsidR="00120184" w:rsidRDefault="00120184" w:rsidP="000B1E49">
            <w:pPr>
              <w:spacing w:after="120"/>
              <w:jc w:val="both"/>
              <w:rPr>
                <w:rFonts w:ascii="Calibri" w:eastAsia="Calibri" w:hAnsi="Calibri" w:cs="Calibri"/>
                <w:b/>
                <w:u w:val="single"/>
              </w:rPr>
            </w:pPr>
          </w:p>
          <w:p w:rsidR="00120184" w:rsidRDefault="00120184" w:rsidP="000B1E49">
            <w:pPr>
              <w:spacing w:after="120"/>
              <w:jc w:val="both"/>
              <w:rPr>
                <w:rFonts w:ascii="Calibri" w:eastAsia="Calibri" w:hAnsi="Calibri" w:cs="Calibri"/>
                <w:b/>
                <w:u w:val="single"/>
              </w:rPr>
            </w:pPr>
          </w:p>
          <w:p w:rsidR="00120184" w:rsidRDefault="00120184" w:rsidP="000B1E49">
            <w:pPr>
              <w:spacing w:after="120"/>
              <w:jc w:val="both"/>
              <w:rPr>
                <w:rFonts w:ascii="Calibri" w:eastAsia="Calibri" w:hAnsi="Calibri" w:cs="Calibri"/>
                <w:b/>
                <w:u w:val="single"/>
              </w:rPr>
            </w:pPr>
          </w:p>
          <w:p w:rsidR="00120184" w:rsidRPr="00DC67DE" w:rsidRDefault="00120184" w:rsidP="000B1E49">
            <w:pPr>
              <w:spacing w:after="120"/>
              <w:jc w:val="both"/>
              <w:rPr>
                <w:rFonts w:ascii="Calibri" w:eastAsia="Calibri" w:hAnsi="Calibri" w:cs="Calibri"/>
                <w:b/>
                <w:u w:val="single"/>
              </w:rPr>
            </w:pPr>
          </w:p>
        </w:tc>
      </w:tr>
      <w:tr w:rsidR="0042620D" w:rsidRPr="00DE3B77" w:rsidTr="00120184">
        <w:trPr>
          <w:trHeight w:val="1957"/>
        </w:trPr>
        <w:tc>
          <w:tcPr>
            <w:tcW w:w="10065" w:type="dxa"/>
          </w:tcPr>
          <w:p w:rsidR="00E27D8F" w:rsidRPr="008B41FF" w:rsidRDefault="008B41FF" w:rsidP="008B41FF">
            <w:pPr>
              <w:tabs>
                <w:tab w:val="left" w:pos="8928"/>
              </w:tabs>
              <w:jc w:val="both"/>
              <w:rPr>
                <w:rFonts w:ascii="Calibri" w:eastAsia="Calibri" w:hAnsi="Calibri" w:cs="Calibri"/>
                <w:lang w:val="fr-FR"/>
              </w:rPr>
            </w:pPr>
            <w:r>
              <w:rPr>
                <w:rFonts w:ascii="Calibri" w:eastAsia="Calibri" w:hAnsi="Calibri" w:cs="Calibri"/>
                <w:lang w:val="fr-FR"/>
              </w:rPr>
              <w:lastRenderedPageBreak/>
              <w:t>S</w:t>
            </w:r>
            <w:r w:rsidRPr="00EB79D2">
              <w:rPr>
                <w:rFonts w:ascii="Calibri" w:eastAsia="Calibri" w:hAnsi="Calibri" w:cs="Calibri"/>
                <w:lang w:val="fr-FR"/>
              </w:rPr>
              <w:t>ous-processus administratifs disponibles pour le participant déclencheur et les</w:t>
            </w:r>
            <w:r>
              <w:rPr>
                <w:rFonts w:ascii="Calibri" w:eastAsia="Calibri" w:hAnsi="Calibri" w:cs="Calibri"/>
                <w:lang w:val="fr-FR"/>
              </w:rPr>
              <w:t xml:space="preserve"> autres participants :</w:t>
            </w:r>
          </w:p>
          <w:p w:rsidR="0091766B" w:rsidRPr="008B41FF" w:rsidRDefault="008B41FF" w:rsidP="00CD6273">
            <w:pPr>
              <w:jc w:val="both"/>
              <w:rPr>
                <w:rFonts w:ascii="Calibri" w:eastAsia="Calibri" w:hAnsi="Calibri" w:cs="Calibri"/>
                <w:lang w:val="fr-FR"/>
              </w:rPr>
            </w:pPr>
            <w:r w:rsidRPr="00A316A1">
              <w:rPr>
                <w:rStyle w:val="Lienhypertexte"/>
                <w:rFonts w:ascii="Calibri" w:eastAsia="Calibri" w:hAnsi="Calibri" w:cs="Calibri"/>
                <w:lang w:val="pt-PT"/>
              </w:rPr>
              <w:t>Je souhaite invalider le(s) SED H003, H005 ou H006 que j’ai envoyé(s) (AD BUC 06)</w:t>
            </w:r>
            <w:r w:rsidRPr="00A316A1">
              <w:rPr>
                <w:rFonts w:ascii="Calibri" w:eastAsia="Calibri" w:hAnsi="Calibri" w:cs="Calibri"/>
                <w:lang w:val="pt-PT"/>
              </w:rPr>
              <w:t xml:space="preserve">. </w:t>
            </w:r>
            <w:r>
              <w:rPr>
                <w:rFonts w:ascii="Calibri" w:eastAsia="Calibri" w:hAnsi="Calibri" w:cs="Calibri"/>
                <w:lang w:val="fr-FR"/>
              </w:rPr>
              <w:t xml:space="preserve">A noter qu’il est possible d’envoyer un nouveau SED H003 après invalidation du SED H003 initial. </w:t>
            </w:r>
          </w:p>
          <w:p w:rsidR="00CD6273" w:rsidRPr="008B41FF" w:rsidRDefault="008B41FF" w:rsidP="00DC67DE">
            <w:pPr>
              <w:spacing w:after="120"/>
              <w:jc w:val="both"/>
              <w:rPr>
                <w:rFonts w:ascii="Calibri" w:eastAsia="Calibri" w:hAnsi="Calibri" w:cs="Calibri"/>
                <w:lang w:val="fr-FR"/>
              </w:rPr>
            </w:pPr>
            <w:r w:rsidRPr="00EB79D2">
              <w:rPr>
                <w:rStyle w:val="Lienhypertexte"/>
                <w:rFonts w:ascii="Calibri" w:eastAsia="Calibri" w:hAnsi="Calibri" w:cs="Calibri"/>
                <w:lang w:val="fr-FR"/>
              </w:rPr>
              <w:t>Je souhaite actualiser les informations contenues dans un SED envoyé (AD_BUC_10)</w:t>
            </w:r>
            <w:r>
              <w:rPr>
                <w:rStyle w:val="Lienhypertexte"/>
                <w:rFonts w:ascii="Calibri" w:eastAsia="Calibri" w:hAnsi="Calibri" w:cs="Calibri"/>
                <w:lang w:val="fr-FR"/>
              </w:rPr>
              <w:t xml:space="preserve">. </w:t>
            </w:r>
          </w:p>
          <w:p w:rsidR="00E25F59" w:rsidRPr="008B41FF" w:rsidRDefault="008B41FF" w:rsidP="00D97815">
            <w:pPr>
              <w:spacing w:after="120"/>
              <w:jc w:val="both"/>
              <w:rPr>
                <w:rFonts w:ascii="Calibri" w:eastAsia="Calibri" w:hAnsi="Calibri" w:cs="Calibri"/>
                <w:lang w:val="fr-FR"/>
              </w:rPr>
            </w:pPr>
            <w:r>
              <w:rPr>
                <w:rFonts w:ascii="Calibri" w:eastAsia="Calibri" w:hAnsi="Calibri" w:cs="Calibri"/>
                <w:lang w:val="fr-FR"/>
              </w:rPr>
              <w:t>Les sous-processus « Invalider » et « Mettre à jour le SED »</w:t>
            </w:r>
            <w:r w:rsidRPr="00177FD4">
              <w:rPr>
                <w:rFonts w:ascii="Calibri" w:eastAsia="Calibri" w:hAnsi="Calibri" w:cs="Calibri"/>
                <w:lang w:val="fr-FR"/>
              </w:rPr>
              <w:t xml:space="preserve"> peu</w:t>
            </w:r>
            <w:r>
              <w:rPr>
                <w:rFonts w:ascii="Calibri" w:eastAsia="Calibri" w:hAnsi="Calibri" w:cs="Calibri"/>
                <w:lang w:val="fr-FR"/>
              </w:rPr>
              <w:t>ven</w:t>
            </w:r>
            <w:r w:rsidRPr="00177FD4">
              <w:rPr>
                <w:rFonts w:ascii="Calibri" w:eastAsia="Calibri" w:hAnsi="Calibri" w:cs="Calibri"/>
                <w:lang w:val="fr-FR"/>
              </w:rPr>
              <w:t>t être utilisé</w:t>
            </w:r>
            <w:r>
              <w:rPr>
                <w:rFonts w:ascii="Calibri" w:eastAsia="Calibri" w:hAnsi="Calibri" w:cs="Calibri"/>
                <w:lang w:val="fr-FR"/>
              </w:rPr>
              <w:t>s</w:t>
            </w:r>
            <w:r w:rsidRPr="00177FD4">
              <w:rPr>
                <w:rFonts w:ascii="Calibri" w:eastAsia="Calibri" w:hAnsi="Calibri" w:cs="Calibri"/>
                <w:lang w:val="fr-FR"/>
              </w:rPr>
              <w:t xml:space="preserve"> plusieurs fois </w:t>
            </w:r>
            <w:r>
              <w:rPr>
                <w:rFonts w:ascii="Calibri" w:eastAsia="Calibri" w:hAnsi="Calibri" w:cs="Calibri"/>
                <w:lang w:val="fr-FR"/>
              </w:rPr>
              <w:t xml:space="preserve">à la fois </w:t>
            </w:r>
            <w:r w:rsidRPr="00177FD4">
              <w:rPr>
                <w:rFonts w:ascii="Calibri" w:eastAsia="Calibri" w:hAnsi="Calibri" w:cs="Calibri"/>
                <w:lang w:val="fr-FR"/>
              </w:rPr>
              <w:t>par le participant déclencheur et</w:t>
            </w:r>
            <w:r>
              <w:rPr>
                <w:rFonts w:ascii="Calibri" w:eastAsia="Calibri" w:hAnsi="Calibri" w:cs="Calibri"/>
                <w:lang w:val="fr-FR"/>
              </w:rPr>
              <w:t xml:space="preserve"> par</w:t>
            </w:r>
            <w:r w:rsidRPr="00177FD4">
              <w:rPr>
                <w:rFonts w:ascii="Calibri" w:eastAsia="Calibri" w:hAnsi="Calibri" w:cs="Calibri"/>
                <w:lang w:val="fr-FR"/>
              </w:rPr>
              <w:t xml:space="preserve"> l</w:t>
            </w:r>
            <w:r w:rsidR="00262BC3">
              <w:rPr>
                <w:rFonts w:ascii="Calibri" w:eastAsia="Calibri" w:hAnsi="Calibri" w:cs="Calibri"/>
                <w:lang w:val="fr-FR"/>
              </w:rPr>
              <w:t>’</w:t>
            </w:r>
            <w:r>
              <w:rPr>
                <w:rFonts w:ascii="Calibri" w:eastAsia="Calibri" w:hAnsi="Calibri" w:cs="Calibri"/>
                <w:lang w:val="fr-FR"/>
              </w:rPr>
              <w:t>(</w:t>
            </w:r>
            <w:r w:rsidRPr="00177FD4">
              <w:rPr>
                <w:rFonts w:ascii="Calibri" w:eastAsia="Calibri" w:hAnsi="Calibri" w:cs="Calibri"/>
                <w:lang w:val="fr-FR"/>
              </w:rPr>
              <w:t>es</w:t>
            </w:r>
            <w:r>
              <w:rPr>
                <w:rFonts w:ascii="Calibri" w:eastAsia="Calibri" w:hAnsi="Calibri" w:cs="Calibri"/>
                <w:lang w:val="fr-FR"/>
              </w:rPr>
              <w:t>)</w:t>
            </w:r>
            <w:r w:rsidRPr="00177FD4">
              <w:rPr>
                <w:rFonts w:ascii="Calibri" w:eastAsia="Calibri" w:hAnsi="Calibri" w:cs="Calibri"/>
                <w:lang w:val="fr-FR"/>
              </w:rPr>
              <w:t xml:space="preserve"> autre</w:t>
            </w:r>
            <w:r>
              <w:rPr>
                <w:rFonts w:ascii="Calibri" w:eastAsia="Calibri" w:hAnsi="Calibri" w:cs="Calibri"/>
                <w:lang w:val="fr-FR"/>
              </w:rPr>
              <w:t>(</w:t>
            </w:r>
            <w:r w:rsidRPr="00177FD4">
              <w:rPr>
                <w:rFonts w:ascii="Calibri" w:eastAsia="Calibri" w:hAnsi="Calibri" w:cs="Calibri"/>
                <w:lang w:val="fr-FR"/>
              </w:rPr>
              <w:t>s participant</w:t>
            </w:r>
            <w:r>
              <w:rPr>
                <w:rFonts w:ascii="Calibri" w:eastAsia="Calibri" w:hAnsi="Calibri" w:cs="Calibri"/>
                <w:lang w:val="fr-FR"/>
              </w:rPr>
              <w:t>(</w:t>
            </w:r>
            <w:r w:rsidRPr="00177FD4">
              <w:rPr>
                <w:rFonts w:ascii="Calibri" w:eastAsia="Calibri" w:hAnsi="Calibri" w:cs="Calibri"/>
                <w:lang w:val="fr-FR"/>
              </w:rPr>
              <w:t>s</w:t>
            </w:r>
            <w:r>
              <w:rPr>
                <w:rFonts w:ascii="Calibri" w:eastAsia="Calibri" w:hAnsi="Calibri" w:cs="Calibri"/>
                <w:lang w:val="fr-FR"/>
              </w:rPr>
              <w:t>)</w:t>
            </w:r>
            <w:r w:rsidRPr="00177FD4">
              <w:rPr>
                <w:rFonts w:ascii="Calibri" w:eastAsia="Calibri" w:hAnsi="Calibri" w:cs="Calibri"/>
                <w:lang w:val="fr-FR"/>
              </w:rPr>
              <w:t>.</w:t>
            </w:r>
          </w:p>
        </w:tc>
      </w:tr>
    </w:tbl>
    <w:p w:rsidR="00C420DA" w:rsidRPr="008B41FF" w:rsidRDefault="00C420DA">
      <w:pPr>
        <w:rPr>
          <w:lang w:val="fr-FR"/>
        </w:rPr>
      </w:pPr>
    </w:p>
    <w:sectPr w:rsidR="00C420DA" w:rsidRPr="008B41FF" w:rsidSect="009900DD">
      <w:headerReference w:type="default" r:id="rId12"/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7A0E" w:rsidRDefault="00A87A0E" w:rsidP="00AB3C18">
      <w:r>
        <w:separator/>
      </w:r>
    </w:p>
  </w:endnote>
  <w:endnote w:type="continuationSeparator" w:id="1">
    <w:p w:rsidR="00A87A0E" w:rsidRDefault="00A87A0E" w:rsidP="00AB3C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FagoOfficeSans">
    <w:altName w:val="EC Square Sans Pro Extra Black"/>
    <w:charset w:val="00"/>
    <w:family w:val="auto"/>
    <w:pitch w:val="variable"/>
    <w:sig w:usb0="00000003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A0E" w:rsidRPr="004A5514" w:rsidRDefault="009E4DC5" w:rsidP="006F6BA4">
    <w:pPr>
      <w:pStyle w:val="En-tte"/>
      <w:jc w:val="both"/>
      <w:rPr>
        <w:rFonts w:ascii="Verdana" w:eastAsiaTheme="majorEastAsia" w:hAnsi="Verdana" w:cstheme="majorBidi"/>
        <w:bCs/>
        <w:sz w:val="16"/>
        <w:szCs w:val="36"/>
        <w:lang w:val="fr-FR"/>
      </w:rPr>
    </w:pPr>
    <w:r w:rsidRPr="009E4DC5">
      <w:rPr>
        <w:i/>
        <w:lang w:val="fr-FR" w:eastAsia="en-GB"/>
      </w:rPr>
      <w:pict>
        <v:line id="Straight Connector 3" o:spid="_x0000_s2049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45pt,-3.15pt" to="479.05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FXOtwEAAMMDAAAOAAAAZHJzL2Uyb0RvYy54bWysU8GOEzEMvSPxD1HudKatWMGo0z10BRcE&#10;FQsfkM04nUhJHDmhnf49TtrOIkBCIC6eOPGz/Z49m/vJO3EEShZDL5eLVgoIGgcbDr38+uXdqzdS&#10;pKzCoBwG6OUZkrzfvnyxOcUOVjiiG4AEJwmpO8VejjnHrmmSHsGrtMAIgR8NkleZXTo0A6kTZ/eu&#10;WbXtXXNCGiKhhpT49uHyKLc1vzGg8ydjEmThesm95Wqp2qdim+1GdQdScbT62ob6hy68soGLzqke&#10;VFbiG9lfUnmrCROavNDoGzTGaqgcmM2y/YnN46giVC4sToqzTOn/pdUfj3sSdujlWoqgPI/oMZOy&#10;hzGLHYbAAiKJddHpFFPH4buwp6uX4p4K6cmQL1+mI6aq7XnWFqYsNF/erVZv1695BPr21jwDI6X8&#10;HtCLcuils6HQVp06fkiZi3HoLYSd0sildD3ls4MS7MJnMEyFiy0rui4R7ByJo+LxK60h5GWhwvlq&#10;dIEZ69wMbP8MvMYXKNQF+xvwjKiVMeQZ7G1A+l31PN1aNpf4mwIX3kWCJxzOdShVGt6UyvC61WUV&#10;f/Qr/Pnf234HAAD//wMAUEsDBBQABgAIAAAAIQDRRU8C4AAAAAkBAAAPAAAAZHJzL2Rvd25yZXYu&#10;eG1sTI9NS8NAEIbvgv9hGcFbu2nE0sZsSimItSDFKtTjNjsm0exs2N026b93ige9zcfDO8/ki8G2&#10;4oQ+NI4UTMYJCKTSmYYqBe9vj6MZiBA1Gd06QgVnDLAorq9ynRnX0yuedrESHEIh0wrqGLtMylDW&#10;aHUYuw6Jd5/OWx259ZU0XvccbluZJslUWt0QX6h1h6say+/d0Sp48ev1ark5f9H2w/b7dLPfPg9P&#10;St3eDMsHEBGH+AfDRZ/VoWCngzuSCaJVMErTOaNcTO9AMDC/n01AHH4Hssjl/w+KHwAAAP//AwBQ&#10;SwECLQAUAAYACAAAACEAtoM4kv4AAADhAQAAEwAAAAAAAAAAAAAAAAAAAAAAW0NvbnRlbnRfVHlw&#10;ZXNdLnhtbFBLAQItABQABgAIAAAAIQA4/SH/1gAAAJQBAAALAAAAAAAAAAAAAAAAAC8BAABfcmVs&#10;cy8ucmVsc1BLAQItABQABgAIAAAAIQAvvFXOtwEAAMMDAAAOAAAAAAAAAAAAAAAAAC4CAABkcnMv&#10;ZTJvRG9jLnhtbFBLAQItABQABgAIAAAAIQDRRU8C4AAAAAkBAAAPAAAAAAAAAAAAAAAAABEEAABk&#10;cnMvZG93bnJldi54bWxQSwUGAAAAAAQABADzAAAAHgUAAAAA&#10;" strokecolor="#5b9bd5 [3204]" strokeweight=".5pt">
          <v:stroke joinstyle="miter"/>
        </v:line>
      </w:pict>
    </w:r>
    <w:r w:rsidR="004A5514" w:rsidRPr="004A5514">
      <w:rPr>
        <w:rFonts w:ascii="Verdana" w:hAnsi="Verdana" w:cs="Verdana"/>
        <w:sz w:val="16"/>
        <w:szCs w:val="16"/>
        <w:lang w:val="fr-FR"/>
      </w:rPr>
      <w:t>Instructions relatives au cas d’utilisation métier EESSI - sous-processus</w:t>
    </w:r>
    <w:r w:rsidR="00A87A0E" w:rsidRPr="004A5514">
      <w:rPr>
        <w:rFonts w:ascii="Verdana" w:eastAsiaTheme="majorEastAsia" w:hAnsi="Verdana" w:cstheme="majorBidi"/>
        <w:bCs/>
        <w:sz w:val="16"/>
        <w:szCs w:val="36"/>
        <w:lang w:val="fr-FR"/>
      </w:rPr>
      <w:t xml:space="preserve"> H_BUC_02_Subprocess – </w:t>
    </w:r>
    <w:r w:rsidR="004A5514" w:rsidRPr="004A5514">
      <w:rPr>
        <w:rFonts w:ascii="Verdana" w:eastAsiaTheme="majorEastAsia" w:hAnsi="Verdana" w:cstheme="majorBidi"/>
        <w:bCs/>
        <w:sz w:val="16"/>
        <w:szCs w:val="36"/>
        <w:lang w:val="fr-FR"/>
      </w:rPr>
      <w:t>Détermination de la ré</w:t>
    </w:r>
    <w:r w:rsidR="00A87A0E" w:rsidRPr="004A5514">
      <w:rPr>
        <w:rFonts w:ascii="Verdana" w:eastAsiaTheme="majorEastAsia" w:hAnsi="Verdana" w:cstheme="majorBidi"/>
        <w:bCs/>
        <w:sz w:val="16"/>
        <w:szCs w:val="36"/>
        <w:lang w:val="fr-FR"/>
      </w:rPr>
      <w:t>sidence</w:t>
    </w:r>
  </w:p>
  <w:p w:rsidR="00A87A0E" w:rsidRPr="004A5514" w:rsidRDefault="004A5514" w:rsidP="000D1711">
    <w:pPr>
      <w:pStyle w:val="En-tte"/>
      <w:rPr>
        <w:rFonts w:ascii="Verdana" w:eastAsiaTheme="majorEastAsia" w:hAnsi="Verdana" w:cstheme="majorBidi"/>
        <w:bCs/>
        <w:sz w:val="16"/>
        <w:szCs w:val="36"/>
        <w:lang w:val="fr-FR"/>
      </w:rPr>
    </w:pPr>
    <w:r>
      <w:rPr>
        <w:rFonts w:ascii="Verdana" w:eastAsiaTheme="majorEastAsia" w:hAnsi="Verdana" w:cstheme="majorBidi"/>
        <w:bCs/>
        <w:sz w:val="16"/>
        <w:szCs w:val="36"/>
        <w:lang w:val="fr-FR"/>
      </w:rPr>
      <w:t>Basé sur :</w:t>
    </w:r>
    <w:r w:rsidR="00A87A0E" w:rsidRPr="004A5514">
      <w:rPr>
        <w:rFonts w:ascii="Verdana" w:eastAsiaTheme="majorEastAsia" w:hAnsi="Verdana" w:cstheme="majorBidi"/>
        <w:bCs/>
        <w:sz w:val="16"/>
        <w:szCs w:val="36"/>
        <w:lang w:val="fr-FR"/>
      </w:rPr>
      <w:t xml:space="preserve"> H_BUC_02_Sub version 1.0.1</w:t>
    </w:r>
  </w:p>
  <w:p w:rsidR="00A87A0E" w:rsidRPr="004A5514" w:rsidRDefault="004A5514" w:rsidP="000D1711">
    <w:pPr>
      <w:pStyle w:val="En-tte"/>
      <w:rPr>
        <w:rFonts w:ascii="Verdana" w:eastAsiaTheme="majorEastAsia" w:hAnsi="Verdana" w:cstheme="majorBidi"/>
        <w:bCs/>
        <w:sz w:val="16"/>
        <w:szCs w:val="36"/>
        <w:lang w:val="fr-FR"/>
      </w:rPr>
    </w:pPr>
    <w:r>
      <w:rPr>
        <w:rFonts w:ascii="Verdana" w:eastAsiaTheme="majorEastAsia" w:hAnsi="Verdana" w:cstheme="majorBidi"/>
        <w:bCs/>
        <w:sz w:val="16"/>
        <w:szCs w:val="36"/>
        <w:lang w:val="fr-FR"/>
      </w:rPr>
      <w:t>Modèle de données communes</w:t>
    </w:r>
    <w:r w:rsidR="00A87A0E" w:rsidRPr="004A5514">
      <w:rPr>
        <w:rFonts w:ascii="Verdana" w:eastAsiaTheme="majorEastAsia" w:hAnsi="Verdana" w:cstheme="majorBidi"/>
        <w:bCs/>
        <w:sz w:val="16"/>
        <w:szCs w:val="36"/>
        <w:lang w:val="fr-FR"/>
      </w:rPr>
      <w:t xml:space="preserve"> version 4.0.16</w:t>
    </w:r>
    <w:bookmarkStart w:id="0" w:name="_GoBack"/>
    <w:bookmarkEnd w:id="0"/>
    <w:r w:rsidR="00A87A0E" w:rsidRPr="004A5514">
      <w:rPr>
        <w:rFonts w:ascii="Verdana" w:eastAsiaTheme="majorEastAsia" w:hAnsi="Verdana" w:cstheme="majorBidi"/>
        <w:bCs/>
        <w:sz w:val="16"/>
        <w:szCs w:val="36"/>
        <w:lang w:val="fr-FR"/>
      </w:rPr>
      <w:tab/>
    </w:r>
  </w:p>
  <w:p w:rsidR="00A87A0E" w:rsidRPr="004A5514" w:rsidRDefault="004A5514" w:rsidP="000D1711">
    <w:pPr>
      <w:pStyle w:val="En-tte"/>
      <w:rPr>
        <w:rFonts w:ascii="Verdana" w:eastAsiaTheme="majorEastAsia" w:hAnsi="Verdana" w:cstheme="majorBidi"/>
        <w:bCs/>
        <w:sz w:val="16"/>
        <w:szCs w:val="36"/>
        <w:lang w:val="fr-FR"/>
      </w:rPr>
    </w:pPr>
    <w:r>
      <w:rPr>
        <w:rFonts w:ascii="Verdana" w:eastAsiaTheme="majorEastAsia" w:hAnsi="Verdana" w:cstheme="majorBidi"/>
        <w:bCs/>
        <w:sz w:val="16"/>
        <w:szCs w:val="36"/>
        <w:lang w:val="fr-FR"/>
      </w:rPr>
      <w:t>Date : Juillet</w:t>
    </w:r>
    <w:r w:rsidR="00A87A0E" w:rsidRPr="004A5514">
      <w:rPr>
        <w:rFonts w:ascii="Verdana" w:eastAsiaTheme="majorEastAsia" w:hAnsi="Verdana" w:cstheme="majorBidi"/>
        <w:bCs/>
        <w:sz w:val="16"/>
        <w:szCs w:val="36"/>
        <w:lang w:val="fr-FR"/>
      </w:rPr>
      <w:t xml:space="preserve"> 2017 </w:t>
    </w:r>
    <w:r w:rsidR="00A87A0E" w:rsidRPr="004A5514">
      <w:rPr>
        <w:rFonts w:ascii="Verdana" w:eastAsiaTheme="majorEastAsia" w:hAnsi="Verdana" w:cstheme="majorBidi"/>
        <w:bCs/>
        <w:sz w:val="16"/>
        <w:szCs w:val="36"/>
        <w:lang w:val="fr-FR"/>
      </w:rPr>
      <w:tab/>
    </w:r>
  </w:p>
  <w:p w:rsidR="00A87A0E" w:rsidRPr="004A5514" w:rsidRDefault="004A5514" w:rsidP="000D1711">
    <w:pPr>
      <w:pStyle w:val="En-tte"/>
      <w:rPr>
        <w:rFonts w:ascii="Verdana" w:eastAsiaTheme="majorEastAsia" w:hAnsi="Verdana" w:cstheme="majorBidi"/>
        <w:bCs/>
        <w:sz w:val="16"/>
        <w:szCs w:val="36"/>
        <w:lang w:val="fr-FR"/>
      </w:rPr>
    </w:pPr>
    <w:r>
      <w:rPr>
        <w:rFonts w:ascii="Verdana" w:eastAsiaTheme="majorEastAsia" w:hAnsi="Verdana" w:cstheme="majorBidi"/>
        <w:bCs/>
        <w:sz w:val="16"/>
        <w:szCs w:val="36"/>
        <w:lang w:val="fr-FR"/>
      </w:rPr>
      <w:t>Version du document :</w:t>
    </w:r>
    <w:r w:rsidR="00A87A0E" w:rsidRPr="004A5514">
      <w:rPr>
        <w:rFonts w:ascii="Verdana" w:eastAsiaTheme="majorEastAsia" w:hAnsi="Verdana" w:cstheme="majorBidi"/>
        <w:bCs/>
        <w:sz w:val="16"/>
        <w:szCs w:val="36"/>
        <w:lang w:val="fr-FR"/>
      </w:rPr>
      <w:t xml:space="preserve"> 1.0</w:t>
    </w:r>
  </w:p>
  <w:p w:rsidR="00A87A0E" w:rsidRPr="004A5514" w:rsidRDefault="00A87A0E" w:rsidP="000D1711">
    <w:pPr>
      <w:pStyle w:val="En-tte"/>
      <w:rPr>
        <w:rFonts w:ascii="Verdana" w:eastAsiaTheme="majorEastAsia" w:hAnsi="Verdana" w:cstheme="majorBidi"/>
        <w:bCs/>
        <w:sz w:val="16"/>
        <w:szCs w:val="36"/>
        <w:lang w:val="fr-F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7A0E" w:rsidRDefault="00A87A0E" w:rsidP="00AB3C18">
      <w:r>
        <w:separator/>
      </w:r>
    </w:p>
  </w:footnote>
  <w:footnote w:type="continuationSeparator" w:id="1">
    <w:p w:rsidR="00A87A0E" w:rsidRDefault="00A87A0E" w:rsidP="00AB3C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A0E" w:rsidRDefault="00A87A0E" w:rsidP="003B6DA4">
    <w:pPr>
      <w:pStyle w:val="En-tte"/>
      <w:rPr>
        <w:rFonts w:ascii="Verdana" w:eastAsiaTheme="majorEastAsia" w:hAnsi="Verdana" w:cstheme="majorBidi"/>
        <w:b/>
        <w:bCs/>
        <w:i/>
        <w:color w:val="A6A6A6" w:themeColor="background1" w:themeShade="A6"/>
        <w:sz w:val="16"/>
        <w:szCs w:val="36"/>
      </w:rPr>
    </w:pPr>
    <w:r w:rsidRPr="00697BF5">
      <w:rPr>
        <w:noProof/>
        <w:lang w:val="fr-FR" w:eastAsia="fr-FR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column">
            <wp:posOffset>4552315</wp:posOffset>
          </wp:positionH>
          <wp:positionV relativeFrom="paragraph">
            <wp:posOffset>-170180</wp:posOffset>
          </wp:positionV>
          <wp:extent cx="1752600" cy="419100"/>
          <wp:effectExtent l="0" t="0" r="0" b="0"/>
          <wp:wrapTight wrapText="bothSides">
            <wp:wrapPolygon edited="0">
              <wp:start x="0" y="0"/>
              <wp:lineTo x="0" y="20618"/>
              <wp:lineTo x="21365" y="20618"/>
              <wp:lineTo x="21365" y="0"/>
              <wp:lineTo x="0" y="0"/>
            </wp:wrapPolygon>
          </wp:wrapTight>
          <wp:docPr id="21" name="Picture 21" descr="colour_logoEC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olour_logoEC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97BF5">
      <w:rPr>
        <w:rFonts w:ascii="Verdana" w:eastAsiaTheme="majorEastAsia" w:hAnsi="Verdana" w:cstheme="majorBidi"/>
        <w:b/>
        <w:bCs/>
        <w:i/>
        <w:color w:val="A6A6A6" w:themeColor="background1" w:themeShade="A6"/>
        <w:sz w:val="16"/>
        <w:szCs w:val="36"/>
        <w:lang w:val="fr-FR"/>
      </w:rPr>
      <w:t>Emploi</w:t>
    </w:r>
    <w:r w:rsidRPr="000D3FA5">
      <w:rPr>
        <w:rFonts w:ascii="Verdana" w:eastAsiaTheme="majorEastAsia" w:hAnsi="Verdana" w:cstheme="majorBidi"/>
        <w:b/>
        <w:bCs/>
        <w:i/>
        <w:color w:val="A6A6A6" w:themeColor="background1" w:themeShade="A6"/>
        <w:sz w:val="16"/>
        <w:szCs w:val="36"/>
      </w:rPr>
      <w:t xml:space="preserve">, </w:t>
    </w:r>
    <w:r w:rsidRPr="00697BF5">
      <w:rPr>
        <w:rFonts w:ascii="Verdana" w:eastAsiaTheme="majorEastAsia" w:hAnsi="Verdana" w:cstheme="majorBidi"/>
        <w:b/>
        <w:bCs/>
        <w:i/>
        <w:color w:val="A6A6A6" w:themeColor="background1" w:themeShade="A6"/>
        <w:sz w:val="16"/>
        <w:szCs w:val="36"/>
        <w:lang w:val="fr-FR"/>
      </w:rPr>
      <w:t>affaires</w:t>
    </w:r>
    <w:r>
      <w:rPr>
        <w:rFonts w:ascii="Verdana" w:eastAsiaTheme="majorEastAsia" w:hAnsi="Verdana" w:cstheme="majorBidi"/>
        <w:b/>
        <w:bCs/>
        <w:i/>
        <w:color w:val="A6A6A6" w:themeColor="background1" w:themeShade="A6"/>
        <w:sz w:val="16"/>
        <w:szCs w:val="36"/>
      </w:rPr>
      <w:t xml:space="preserve"> </w:t>
    </w:r>
    <w:r w:rsidRPr="00697BF5">
      <w:rPr>
        <w:rFonts w:ascii="Verdana" w:eastAsiaTheme="majorEastAsia" w:hAnsi="Verdana" w:cstheme="majorBidi"/>
        <w:b/>
        <w:bCs/>
        <w:i/>
        <w:color w:val="A6A6A6" w:themeColor="background1" w:themeShade="A6"/>
        <w:sz w:val="16"/>
        <w:szCs w:val="36"/>
        <w:lang w:val="fr-FR"/>
      </w:rPr>
      <w:t>sociales</w:t>
    </w:r>
    <w:r>
      <w:rPr>
        <w:rFonts w:ascii="Verdana" w:eastAsiaTheme="majorEastAsia" w:hAnsi="Verdana" w:cstheme="majorBidi"/>
        <w:b/>
        <w:bCs/>
        <w:i/>
        <w:color w:val="A6A6A6" w:themeColor="background1" w:themeShade="A6"/>
        <w:sz w:val="16"/>
        <w:szCs w:val="36"/>
      </w:rPr>
      <w:t xml:space="preserve"> et </w:t>
    </w:r>
    <w:r w:rsidRPr="00697BF5">
      <w:rPr>
        <w:rFonts w:ascii="Verdana" w:eastAsiaTheme="majorEastAsia" w:hAnsi="Verdana" w:cstheme="majorBidi"/>
        <w:b/>
        <w:bCs/>
        <w:i/>
        <w:color w:val="A6A6A6" w:themeColor="background1" w:themeShade="A6"/>
        <w:sz w:val="16"/>
        <w:szCs w:val="36"/>
        <w:lang w:val="fr-FR"/>
      </w:rPr>
      <w:t>inclusion</w:t>
    </w:r>
  </w:p>
  <w:p w:rsidR="00A87A0E" w:rsidRDefault="00A87A0E">
    <w:pPr>
      <w:pStyle w:val="En-tte"/>
    </w:pPr>
  </w:p>
  <w:p w:rsidR="00A87A0E" w:rsidRDefault="00A87A0E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2685D"/>
    <w:multiLevelType w:val="singleLevel"/>
    <w:tmpl w:val="14A429F4"/>
    <w:lvl w:ilvl="0">
      <w:start w:val="1"/>
      <w:numFmt w:val="bullet"/>
      <w:pStyle w:val="Listepuces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abstractNum w:abstractNumId="1">
    <w:nsid w:val="19697453"/>
    <w:multiLevelType w:val="hybridMultilevel"/>
    <w:tmpl w:val="BCF23E10"/>
    <w:lvl w:ilvl="0" w:tplc="05BE832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ADB2F2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02AF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8CB5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98CD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685F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FCEF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82F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1AC4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stylePaneFormatFilter w:val="4004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docVars>
    <w:docVar w:name="LW_DocType" w:val="NORMAL"/>
  </w:docVars>
  <w:rsids>
    <w:rsidRoot w:val="00DE28CD"/>
    <w:rsid w:val="000056A6"/>
    <w:rsid w:val="000121C8"/>
    <w:rsid w:val="000210CE"/>
    <w:rsid w:val="00030263"/>
    <w:rsid w:val="00052C57"/>
    <w:rsid w:val="00075CE1"/>
    <w:rsid w:val="000B1E49"/>
    <w:rsid w:val="000B3328"/>
    <w:rsid w:val="000B6960"/>
    <w:rsid w:val="000C62D3"/>
    <w:rsid w:val="000D1711"/>
    <w:rsid w:val="000F1DDB"/>
    <w:rsid w:val="00105076"/>
    <w:rsid w:val="00120184"/>
    <w:rsid w:val="00127280"/>
    <w:rsid w:val="00127312"/>
    <w:rsid w:val="001342C0"/>
    <w:rsid w:val="00142F55"/>
    <w:rsid w:val="00173312"/>
    <w:rsid w:val="00173A29"/>
    <w:rsid w:val="001A7E1F"/>
    <w:rsid w:val="001B500E"/>
    <w:rsid w:val="001D06B8"/>
    <w:rsid w:val="001D6BD0"/>
    <w:rsid w:val="001D77C8"/>
    <w:rsid w:val="001E4F25"/>
    <w:rsid w:val="001E6B56"/>
    <w:rsid w:val="002029F8"/>
    <w:rsid w:val="0023233A"/>
    <w:rsid w:val="00234115"/>
    <w:rsid w:val="00240B56"/>
    <w:rsid w:val="002473B8"/>
    <w:rsid w:val="00262BC3"/>
    <w:rsid w:val="00271B59"/>
    <w:rsid w:val="00283767"/>
    <w:rsid w:val="00295824"/>
    <w:rsid w:val="002F6A19"/>
    <w:rsid w:val="002F79A2"/>
    <w:rsid w:val="0030294F"/>
    <w:rsid w:val="00304B04"/>
    <w:rsid w:val="003110EC"/>
    <w:rsid w:val="0032305C"/>
    <w:rsid w:val="003237EE"/>
    <w:rsid w:val="00340ADD"/>
    <w:rsid w:val="00342560"/>
    <w:rsid w:val="0034664D"/>
    <w:rsid w:val="00376E7B"/>
    <w:rsid w:val="003873C7"/>
    <w:rsid w:val="003B6DA4"/>
    <w:rsid w:val="003C1F83"/>
    <w:rsid w:val="003C56B9"/>
    <w:rsid w:val="003D175F"/>
    <w:rsid w:val="00417AD3"/>
    <w:rsid w:val="0042620D"/>
    <w:rsid w:val="00443229"/>
    <w:rsid w:val="00474772"/>
    <w:rsid w:val="004A5514"/>
    <w:rsid w:val="004A62FD"/>
    <w:rsid w:val="004C3FA3"/>
    <w:rsid w:val="004C497A"/>
    <w:rsid w:val="0051332C"/>
    <w:rsid w:val="00556052"/>
    <w:rsid w:val="00564258"/>
    <w:rsid w:val="00574310"/>
    <w:rsid w:val="005843D7"/>
    <w:rsid w:val="005B1C63"/>
    <w:rsid w:val="005E4601"/>
    <w:rsid w:val="005F11A3"/>
    <w:rsid w:val="00633F90"/>
    <w:rsid w:val="006728A1"/>
    <w:rsid w:val="0067458C"/>
    <w:rsid w:val="0068633B"/>
    <w:rsid w:val="00697559"/>
    <w:rsid w:val="006975C8"/>
    <w:rsid w:val="00697BF5"/>
    <w:rsid w:val="006B6BB3"/>
    <w:rsid w:val="006C2F17"/>
    <w:rsid w:val="006D325A"/>
    <w:rsid w:val="006E0F77"/>
    <w:rsid w:val="006E463E"/>
    <w:rsid w:val="006F6BA4"/>
    <w:rsid w:val="007149E7"/>
    <w:rsid w:val="00721A2B"/>
    <w:rsid w:val="00722276"/>
    <w:rsid w:val="00747CCE"/>
    <w:rsid w:val="00765F0D"/>
    <w:rsid w:val="00775EB4"/>
    <w:rsid w:val="00785EB9"/>
    <w:rsid w:val="0078732C"/>
    <w:rsid w:val="007909E5"/>
    <w:rsid w:val="007A77C8"/>
    <w:rsid w:val="007B15FE"/>
    <w:rsid w:val="007D14CC"/>
    <w:rsid w:val="007E41A5"/>
    <w:rsid w:val="0080404C"/>
    <w:rsid w:val="00817E31"/>
    <w:rsid w:val="00823A4F"/>
    <w:rsid w:val="00850AB0"/>
    <w:rsid w:val="00853E81"/>
    <w:rsid w:val="0089206C"/>
    <w:rsid w:val="008B41FF"/>
    <w:rsid w:val="0091766B"/>
    <w:rsid w:val="00930DD4"/>
    <w:rsid w:val="00940236"/>
    <w:rsid w:val="00950AE5"/>
    <w:rsid w:val="00963CE8"/>
    <w:rsid w:val="00987198"/>
    <w:rsid w:val="009900DD"/>
    <w:rsid w:val="009A66B5"/>
    <w:rsid w:val="009B5934"/>
    <w:rsid w:val="009C25E7"/>
    <w:rsid w:val="009D4D36"/>
    <w:rsid w:val="009E0CC0"/>
    <w:rsid w:val="009E279F"/>
    <w:rsid w:val="009E4DC5"/>
    <w:rsid w:val="009E51FA"/>
    <w:rsid w:val="009F30A7"/>
    <w:rsid w:val="00A22C8C"/>
    <w:rsid w:val="00A27C37"/>
    <w:rsid w:val="00A316A1"/>
    <w:rsid w:val="00A73764"/>
    <w:rsid w:val="00A748C0"/>
    <w:rsid w:val="00A87A0E"/>
    <w:rsid w:val="00AA0DD2"/>
    <w:rsid w:val="00AB3C18"/>
    <w:rsid w:val="00AC44C8"/>
    <w:rsid w:val="00AD1264"/>
    <w:rsid w:val="00AD7DDD"/>
    <w:rsid w:val="00AE627F"/>
    <w:rsid w:val="00B27FEC"/>
    <w:rsid w:val="00B40A09"/>
    <w:rsid w:val="00B657B4"/>
    <w:rsid w:val="00B6735A"/>
    <w:rsid w:val="00B95118"/>
    <w:rsid w:val="00BB7F8D"/>
    <w:rsid w:val="00BC1FB8"/>
    <w:rsid w:val="00BC7075"/>
    <w:rsid w:val="00BD2713"/>
    <w:rsid w:val="00BF0737"/>
    <w:rsid w:val="00C420DA"/>
    <w:rsid w:val="00C56E22"/>
    <w:rsid w:val="00C8580F"/>
    <w:rsid w:val="00CB2F07"/>
    <w:rsid w:val="00CD6273"/>
    <w:rsid w:val="00CF78E6"/>
    <w:rsid w:val="00D00E05"/>
    <w:rsid w:val="00D1469B"/>
    <w:rsid w:val="00D1603D"/>
    <w:rsid w:val="00D31138"/>
    <w:rsid w:val="00D46108"/>
    <w:rsid w:val="00D46796"/>
    <w:rsid w:val="00D51634"/>
    <w:rsid w:val="00D53DD0"/>
    <w:rsid w:val="00D9213E"/>
    <w:rsid w:val="00D97815"/>
    <w:rsid w:val="00DA0D06"/>
    <w:rsid w:val="00DA61D5"/>
    <w:rsid w:val="00DB42AB"/>
    <w:rsid w:val="00DC67DE"/>
    <w:rsid w:val="00DE28CD"/>
    <w:rsid w:val="00DE3622"/>
    <w:rsid w:val="00DE3B77"/>
    <w:rsid w:val="00DF6399"/>
    <w:rsid w:val="00DF696A"/>
    <w:rsid w:val="00E22C24"/>
    <w:rsid w:val="00E25F59"/>
    <w:rsid w:val="00E27D8F"/>
    <w:rsid w:val="00E5062A"/>
    <w:rsid w:val="00E56507"/>
    <w:rsid w:val="00E56E4B"/>
    <w:rsid w:val="00E57012"/>
    <w:rsid w:val="00E61B8D"/>
    <w:rsid w:val="00ED3974"/>
    <w:rsid w:val="00ED6C57"/>
    <w:rsid w:val="00ED6C87"/>
    <w:rsid w:val="00F3569D"/>
    <w:rsid w:val="00F40A7A"/>
    <w:rsid w:val="00F503C9"/>
    <w:rsid w:val="00F85F43"/>
    <w:rsid w:val="00FB704D"/>
    <w:rsid w:val="00FC1F67"/>
    <w:rsid w:val="00FC756B"/>
    <w:rsid w:val="00FF6A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B3C18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B3C18"/>
  </w:style>
  <w:style w:type="character" w:styleId="Appelnotedebasdep">
    <w:name w:val="footnote reference"/>
    <w:basedOn w:val="Policepardfaut"/>
    <w:uiPriority w:val="99"/>
    <w:semiHidden/>
    <w:unhideWhenUsed/>
    <w:rsid w:val="00AB3C18"/>
    <w:rPr>
      <w:vertAlign w:val="superscript"/>
    </w:rPr>
  </w:style>
  <w:style w:type="table" w:styleId="Grilledutableau">
    <w:name w:val="Table Grid"/>
    <w:basedOn w:val="TableauNormal"/>
    <w:uiPriority w:val="59"/>
    <w:rsid w:val="00DE28CD"/>
    <w:rPr>
      <w:sz w:val="22"/>
      <w:szCs w:val="22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F6A19"/>
    <w:pPr>
      <w:ind w:left="720"/>
      <w:contextualSpacing/>
    </w:pPr>
    <w:rPr>
      <w:rFonts w:ascii="Times New Roman" w:eastAsia="Times New Roman" w:hAnsi="Times New Roman"/>
      <w:sz w:val="24"/>
      <w:szCs w:val="24"/>
      <w:lang w:val="nl-NL" w:eastAsia="nl-NL"/>
    </w:rPr>
  </w:style>
  <w:style w:type="table" w:customStyle="1" w:styleId="Tabellenraster1">
    <w:name w:val="Tabellenraster1"/>
    <w:basedOn w:val="TableauNormal"/>
    <w:next w:val="Grilledutableau"/>
    <w:uiPriority w:val="59"/>
    <w:rsid w:val="0042620D"/>
    <w:rPr>
      <w:sz w:val="22"/>
      <w:szCs w:val="22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uces4">
    <w:name w:val="List Bullet 4"/>
    <w:basedOn w:val="Normal"/>
    <w:uiPriority w:val="99"/>
    <w:rsid w:val="005843D7"/>
    <w:pPr>
      <w:numPr>
        <w:numId w:val="2"/>
      </w:numPr>
      <w:tabs>
        <w:tab w:val="left" w:pos="1418"/>
      </w:tabs>
      <w:spacing w:after="120"/>
      <w:jc w:val="both"/>
    </w:pPr>
    <w:rPr>
      <w:rFonts w:ascii="Times New Roman" w:eastAsia="Times New Roman" w:hAnsi="Times New Roman"/>
      <w:sz w:val="24"/>
      <w:lang w:val="en-GB"/>
    </w:rPr>
  </w:style>
  <w:style w:type="character" w:styleId="Lienhypertexte">
    <w:name w:val="Hyperlink"/>
    <w:basedOn w:val="Policepardfaut"/>
    <w:uiPriority w:val="99"/>
    <w:unhideWhenUsed/>
    <w:rsid w:val="00CD6273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3B6DA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B6DA4"/>
  </w:style>
  <w:style w:type="paragraph" w:styleId="Pieddepage">
    <w:name w:val="footer"/>
    <w:basedOn w:val="Normal"/>
    <w:link w:val="PieddepageCar"/>
    <w:uiPriority w:val="99"/>
    <w:unhideWhenUsed/>
    <w:rsid w:val="003B6DA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B6DA4"/>
  </w:style>
  <w:style w:type="paragraph" w:styleId="Textedebulles">
    <w:name w:val="Balloon Text"/>
    <w:basedOn w:val="Normal"/>
    <w:link w:val="TextedebullesCar"/>
    <w:uiPriority w:val="99"/>
    <w:semiHidden/>
    <w:unhideWhenUsed/>
    <w:rsid w:val="003B6DA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6D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table" w:styleId="TableGrid">
    <w:name w:val="Table Grid"/>
    <w:basedOn w:val="TableNormal"/>
    <w:uiPriority w:val="59"/>
    <w:rsid w:val="00DE28CD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6A19"/>
    <w:pPr>
      <w:ind w:left="720"/>
      <w:contextualSpacing/>
    </w:pPr>
    <w:rPr>
      <w:rFonts w:ascii="Times New Roman" w:eastAsia="Times New Roman" w:hAnsi="Times New Roman"/>
      <w:sz w:val="24"/>
      <w:szCs w:val="24"/>
      <w:lang w:val="nl-NL" w:eastAsia="nl-NL"/>
    </w:rPr>
  </w:style>
  <w:style w:type="table" w:customStyle="1" w:styleId="Tabellenraster1">
    <w:name w:val="Tabellenraster1"/>
    <w:basedOn w:val="TableNormal"/>
    <w:next w:val="TableGrid"/>
    <w:uiPriority w:val="59"/>
    <w:rsid w:val="0042620D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4">
    <w:name w:val="List Bullet 4"/>
    <w:basedOn w:val="Normal"/>
    <w:uiPriority w:val="99"/>
    <w:rsid w:val="005843D7"/>
    <w:pPr>
      <w:numPr>
        <w:numId w:val="2"/>
      </w:numPr>
      <w:tabs>
        <w:tab w:val="left" w:pos="1418"/>
      </w:tabs>
      <w:spacing w:after="120"/>
      <w:jc w:val="both"/>
    </w:pPr>
    <w:rPr>
      <w:rFonts w:ascii="Times New Roman" w:eastAsia="Times New Roman" w:hAnsi="Times New Roman"/>
      <w:sz w:val="24"/>
      <w:lang w:val="en-GB"/>
    </w:rPr>
  </w:style>
  <w:style w:type="character" w:styleId="Hyperlink">
    <w:name w:val="Hyperlink"/>
    <w:basedOn w:val="DefaultParagraphFont"/>
    <w:uiPriority w:val="99"/>
    <w:unhideWhenUsed/>
    <w:rsid w:val="00CD627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6DA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6DA4"/>
  </w:style>
  <w:style w:type="paragraph" w:styleId="Footer">
    <w:name w:val="footer"/>
    <w:basedOn w:val="Normal"/>
    <w:link w:val="FooterChar"/>
    <w:uiPriority w:val="99"/>
    <w:unhideWhenUsed/>
    <w:rsid w:val="003B6DA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6DA4"/>
  </w:style>
  <w:style w:type="paragraph" w:styleId="BalloonText">
    <w:name w:val="Balloon Text"/>
    <w:basedOn w:val="Normal"/>
    <w:link w:val="BalloonTextChar"/>
    <w:uiPriority w:val="99"/>
    <w:semiHidden/>
    <w:unhideWhenUsed/>
    <w:rsid w:val="003B6D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D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../SEDs/H004.doc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Relationship Id="rId30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>1</DocumentNr>
    <IconOverlay xmlns="http://schemas.microsoft.com/sharepoint/v4" xsi:nil="true"/>
    <DocumentLanguage xmlns="a88f3e11-806f-455b-a3b3-6a1b2c434eb2">fr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C41C50B9-1C14-4E87-99D7-7C92AADFDE3C}"/>
</file>

<file path=customXml/itemProps2.xml><?xml version="1.0" encoding="utf-8"?>
<ds:datastoreItem xmlns:ds="http://schemas.openxmlformats.org/officeDocument/2006/customXml" ds:itemID="{2856272A-FCB4-4B36-A338-C1C8BB431A98}"/>
</file>

<file path=customXml/itemProps3.xml><?xml version="1.0" encoding="utf-8"?>
<ds:datastoreItem xmlns:ds="http://schemas.openxmlformats.org/officeDocument/2006/customXml" ds:itemID="{C2BD4090-B50F-432D-B24C-B8236E80AD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664</Words>
  <Characters>3657</Characters>
  <Application>Microsoft Office Word</Application>
  <DocSecurity>0</DocSecurity>
  <Lines>30</Lines>
  <Paragraphs>8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Init AG</Company>
  <LinksUpToDate>false</LinksUpToDate>
  <CharactersWithSpaces>4313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H_BUC_02_Subprocess GuidelinesVF</dc:title>
  <dc:creator>m.lefebvre</dc:creator>
  <cp:lastModifiedBy>m.lefebvre</cp:lastModifiedBy>
  <cp:revision>48</cp:revision>
  <dcterms:created xsi:type="dcterms:W3CDTF">2018-08-10T14:32:00Z</dcterms:created>
  <dcterms:modified xsi:type="dcterms:W3CDTF">2018-08-31T09:25:00Z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