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339D5" w14:textId="4C125BF6" w:rsidR="00EA2C97" w:rsidRPr="00C9676A" w:rsidRDefault="00182F3B" w:rsidP="00182F3B">
      <w:pPr>
        <w:jc w:val="center"/>
        <w:outlineLvl w:val="1"/>
        <w:rPr>
          <w:rFonts w:ascii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 w:rsidRPr="00C9676A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D4337B">
        <w:rPr>
          <w:rFonts w:ascii="Calibri" w:eastAsia="Calibri" w:hAnsi="Calibri"/>
          <w:b/>
          <w:sz w:val="22"/>
          <w:szCs w:val="22"/>
          <w:lang w:val="en-GB"/>
        </w:rPr>
        <w:t>05</w:t>
      </w:r>
      <w:r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 w:rsidRPr="00C9676A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D4337B">
        <w:rPr>
          <w:rFonts w:ascii="Calibri" w:hAnsi="Calibri" w:cs="Arial"/>
          <w:b/>
          <w:color w:val="333333"/>
          <w:sz w:val="22"/>
          <w:szCs w:val="22"/>
          <w:lang w:val="en-GB"/>
        </w:rPr>
        <w:t>Information on Change of Entitlement to Benefits in Kind – Long term care</w:t>
      </w:r>
    </w:p>
    <w:p w14:paraId="7C6F5E6A" w14:textId="77777777" w:rsidR="00445696" w:rsidRPr="00711EE2" w:rsidRDefault="00445696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59E60508" w14:textId="5C64A017" w:rsidR="00D4337B" w:rsidRPr="00D4337B" w:rsidRDefault="00D4337B" w:rsidP="00D4337B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D4337B">
        <w:rPr>
          <w:rFonts w:ascii="Calibri" w:eastAsia="Calibri" w:hAnsi="Calibri" w:cs="Arial"/>
          <w:sz w:val="22"/>
          <w:szCs w:val="22"/>
          <w:lang w:val="en-GB"/>
        </w:rPr>
        <w:t>Enables the institution of the Member State of Residence/Stay to inform the institution of the Competent Member State about any change concerning the benefits in kind</w:t>
      </w:r>
      <w:r>
        <w:rPr>
          <w:rFonts w:ascii="Calibri" w:eastAsia="Calibri" w:hAnsi="Calibri" w:cs="Arial"/>
          <w:sz w:val="22"/>
          <w:szCs w:val="22"/>
          <w:lang w:val="en-GB"/>
        </w:rPr>
        <w:t>,</w:t>
      </w:r>
      <w:r w:rsidRPr="00D4337B">
        <w:rPr>
          <w:rFonts w:ascii="Calibri" w:eastAsia="Calibri" w:hAnsi="Calibri" w:cs="Arial"/>
          <w:sz w:val="22"/>
          <w:szCs w:val="22"/>
          <w:lang w:val="en-GB"/>
        </w:rPr>
        <w:t xml:space="preserve"> granted under its legislation</w:t>
      </w:r>
      <w:r>
        <w:rPr>
          <w:rFonts w:ascii="Calibri" w:eastAsia="Calibri" w:hAnsi="Calibri" w:cs="Arial"/>
          <w:sz w:val="22"/>
          <w:szCs w:val="22"/>
          <w:lang w:val="en-GB"/>
        </w:rPr>
        <w:t>,</w:t>
      </w:r>
      <w:r w:rsidRPr="00D4337B">
        <w:rPr>
          <w:rFonts w:ascii="Calibri" w:eastAsia="Calibri" w:hAnsi="Calibri" w:cs="Arial"/>
          <w:sz w:val="22"/>
          <w:szCs w:val="22"/>
          <w:lang w:val="en-GB"/>
        </w:rPr>
        <w:t xml:space="preserve"> in order to allow the competent institution to adapt the amount of cash benefits if necessary.</w:t>
      </w:r>
    </w:p>
    <w:p w14:paraId="281FF102" w14:textId="77777777" w:rsidR="00D4337B" w:rsidRPr="00D4337B" w:rsidRDefault="00D4337B" w:rsidP="00D4337B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D4337B">
        <w:rPr>
          <w:rFonts w:ascii="Calibri" w:eastAsia="Calibri" w:hAnsi="Calibri" w:cs="Arial"/>
          <w:sz w:val="22"/>
          <w:szCs w:val="22"/>
          <w:lang w:val="en-GB"/>
        </w:rPr>
        <w:t>It is up to the competent institution to decide which benefits in kind have to be taken into account for the reduction of cash benefits.</w:t>
      </w:r>
    </w:p>
    <w:p w14:paraId="6C6D9F2F" w14:textId="101E00CE" w:rsidR="00D4337B" w:rsidRDefault="00D4337B" w:rsidP="00D4337B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D4337B">
        <w:rPr>
          <w:rFonts w:ascii="Calibri" w:eastAsia="Calibri" w:hAnsi="Calibri" w:cs="Arial"/>
          <w:sz w:val="22"/>
          <w:szCs w:val="22"/>
          <w:lang w:val="en-GB"/>
        </w:rPr>
        <w:t xml:space="preserve">In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"Information on Change of Entitlement to Benefits in Kind – Long term care", you need to fill in the following sections: </w:t>
      </w:r>
    </w:p>
    <w:p w14:paraId="550085E8" w14:textId="5D45257A" w:rsidR="00D4337B" w:rsidRPr="00D4337B" w:rsidRDefault="00D4337B" w:rsidP="00D4337B">
      <w:pPr>
        <w:pStyle w:val="ListParagraph"/>
        <w:numPr>
          <w:ilvl w:val="0"/>
          <w:numId w:val="5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D4337B">
        <w:rPr>
          <w:rFonts w:ascii="Calibri" w:eastAsia="Calibri" w:hAnsi="Calibri" w:cs="Arial"/>
          <w:sz w:val="22"/>
          <w:szCs w:val="22"/>
          <w:lang w:val="en-GB"/>
        </w:rPr>
        <w:t>Person identification</w:t>
      </w:r>
    </w:p>
    <w:p w14:paraId="05618318" w14:textId="7DDEF17F" w:rsidR="00D4337B" w:rsidRPr="00D4337B" w:rsidRDefault="00D4337B" w:rsidP="00D4337B">
      <w:pPr>
        <w:pStyle w:val="ListParagraph"/>
        <w:numPr>
          <w:ilvl w:val="0"/>
          <w:numId w:val="5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D4337B">
        <w:rPr>
          <w:rFonts w:ascii="Calibri" w:eastAsia="Calibri" w:hAnsi="Calibri" w:cs="Arial"/>
          <w:sz w:val="22"/>
          <w:szCs w:val="22"/>
          <w:lang w:val="en-GB"/>
        </w:rPr>
        <w:t>Person's address</w:t>
      </w:r>
    </w:p>
    <w:p w14:paraId="4F862739" w14:textId="30A246B3" w:rsidR="00D4337B" w:rsidRPr="00D4337B" w:rsidRDefault="00D4337B" w:rsidP="00D4337B">
      <w:pPr>
        <w:pStyle w:val="ListParagraph"/>
        <w:numPr>
          <w:ilvl w:val="0"/>
          <w:numId w:val="3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Change of entitlement to benefits in kind – Long term care</w:t>
      </w:r>
    </w:p>
    <w:p w14:paraId="3FB097C4" w14:textId="77777777" w:rsidR="00D4337B" w:rsidRPr="00D4337B" w:rsidRDefault="00D4337B" w:rsidP="00D4337B">
      <w:pPr>
        <w:rPr>
          <w:lang w:val="en-GB"/>
        </w:rPr>
      </w:pPr>
      <w:bookmarkStart w:id="2" w:name="_GoBack"/>
      <w:bookmarkEnd w:id="2"/>
    </w:p>
    <w:p w14:paraId="7EE7EA20" w14:textId="5E1C4485" w:rsidR="009C6A8E" w:rsidRPr="00711EE2" w:rsidRDefault="00974CC6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</w:t>
      </w:r>
      <w:r w:rsidR="009C6A8E" w:rsidRPr="00711EE2">
        <w:rPr>
          <w:rFonts w:ascii="Calibri" w:eastAsia="Calibri" w:hAnsi="Calibri"/>
          <w:sz w:val="22"/>
          <w:szCs w:val="22"/>
          <w:lang w:val="en-GB"/>
        </w:rPr>
        <w:t xml:space="preserve">t is possible to add attachments to </w:t>
      </w:r>
      <w:r w:rsidR="008801DB" w:rsidRPr="00711EE2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774D79" w:rsidRPr="00711EE2">
        <w:rPr>
          <w:rFonts w:ascii="Calibri" w:eastAsia="Calibri" w:hAnsi="Calibri"/>
          <w:sz w:val="22"/>
          <w:szCs w:val="22"/>
          <w:lang w:val="en-GB"/>
        </w:rPr>
        <w:t>S0</w:t>
      </w:r>
      <w:r w:rsidR="00D4337B">
        <w:rPr>
          <w:rFonts w:ascii="Calibri" w:eastAsia="Calibri" w:hAnsi="Calibri"/>
          <w:sz w:val="22"/>
          <w:szCs w:val="22"/>
          <w:lang w:val="en-GB"/>
        </w:rPr>
        <w:t>05</w:t>
      </w:r>
      <w:r w:rsidR="009C6A8E" w:rsidRPr="00711EE2">
        <w:rPr>
          <w:rFonts w:ascii="Calibri" w:eastAsia="Calibri" w:hAnsi="Calibri"/>
          <w:sz w:val="22"/>
          <w:szCs w:val="22"/>
          <w:lang w:val="en-GB"/>
        </w:rPr>
        <w:t>.</w:t>
      </w:r>
      <w:r w:rsidR="0090480F" w:rsidRPr="00711EE2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540B158F" w14:textId="77777777" w:rsidR="005419D6" w:rsidRPr="00711EE2" w:rsidRDefault="005419D6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314B4E50" w14:textId="65EBFF02" w:rsidR="007F7DC1" w:rsidRDefault="00182F3B" w:rsidP="00711EE2">
      <w:pPr>
        <w:spacing w:after="200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In order to see the content </w:t>
      </w:r>
      <w:r w:rsidR="00A919D4" w:rsidRPr="00711EE2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E13BBC" w:rsidRPr="00711EE2">
        <w:rPr>
          <w:rFonts w:ascii="Calibri" w:eastAsia="Calibri" w:hAnsi="Calibri" w:cs="Arial"/>
          <w:sz w:val="22"/>
          <w:szCs w:val="22"/>
          <w:lang w:val="en-GB"/>
        </w:rPr>
        <w:t>S0</w:t>
      </w:r>
      <w:r w:rsidR="00D4337B">
        <w:rPr>
          <w:rFonts w:ascii="Calibri" w:eastAsia="Calibri" w:hAnsi="Calibri" w:cs="Arial"/>
          <w:sz w:val="22"/>
          <w:szCs w:val="22"/>
          <w:lang w:val="en-GB"/>
        </w:rPr>
        <w:t>05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2" w:history="1">
        <w:r w:rsidRPr="00711EE2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</w:p>
    <w:p w14:paraId="1D769C38" w14:textId="77777777" w:rsidR="007F7DC1" w:rsidRDefault="007F7DC1" w:rsidP="00711EE2">
      <w:pPr>
        <w:spacing w:after="200"/>
        <w:jc w:val="both"/>
        <w:rPr>
          <w:rStyle w:val="Hyperlink"/>
          <w:rFonts w:ascii="Calibri" w:eastAsia="Calibri" w:hAnsi="Calibri"/>
          <w:sz w:val="22"/>
          <w:szCs w:val="22"/>
          <w:lang w:val="en-GB"/>
        </w:rPr>
      </w:pPr>
    </w:p>
    <w:sectPr w:rsidR="007F7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A15"/>
    <w:multiLevelType w:val="hybridMultilevel"/>
    <w:tmpl w:val="11AA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15BBC"/>
    <w:multiLevelType w:val="hybridMultilevel"/>
    <w:tmpl w:val="278C9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25625"/>
    <w:multiLevelType w:val="hybridMultilevel"/>
    <w:tmpl w:val="26F60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B765B"/>
    <w:multiLevelType w:val="hybridMultilevel"/>
    <w:tmpl w:val="60E24060"/>
    <w:lvl w:ilvl="0" w:tplc="6B38E08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549E7"/>
    <w:multiLevelType w:val="hybridMultilevel"/>
    <w:tmpl w:val="CDF6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0F361F"/>
    <w:rsid w:val="00105076"/>
    <w:rsid w:val="00106BD6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0604B"/>
    <w:rsid w:val="0021255C"/>
    <w:rsid w:val="00214185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A0F76"/>
    <w:rsid w:val="003C1F83"/>
    <w:rsid w:val="003C56B9"/>
    <w:rsid w:val="003D175F"/>
    <w:rsid w:val="003F4CFE"/>
    <w:rsid w:val="00417AD3"/>
    <w:rsid w:val="00443229"/>
    <w:rsid w:val="00445685"/>
    <w:rsid w:val="00445696"/>
    <w:rsid w:val="00481885"/>
    <w:rsid w:val="004A62FD"/>
    <w:rsid w:val="004C3FA3"/>
    <w:rsid w:val="004C497A"/>
    <w:rsid w:val="00514EC9"/>
    <w:rsid w:val="005419D6"/>
    <w:rsid w:val="00556052"/>
    <w:rsid w:val="0057082A"/>
    <w:rsid w:val="00574310"/>
    <w:rsid w:val="005B1C63"/>
    <w:rsid w:val="005D1C99"/>
    <w:rsid w:val="00625088"/>
    <w:rsid w:val="00633F90"/>
    <w:rsid w:val="006418D0"/>
    <w:rsid w:val="00660D17"/>
    <w:rsid w:val="006728A1"/>
    <w:rsid w:val="00672C44"/>
    <w:rsid w:val="0067458C"/>
    <w:rsid w:val="006852B5"/>
    <w:rsid w:val="0068633B"/>
    <w:rsid w:val="00697559"/>
    <w:rsid w:val="006975C8"/>
    <w:rsid w:val="006A3702"/>
    <w:rsid w:val="006A6A91"/>
    <w:rsid w:val="006B6BB3"/>
    <w:rsid w:val="006C2F17"/>
    <w:rsid w:val="006E463E"/>
    <w:rsid w:val="0070430C"/>
    <w:rsid w:val="00711EE2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E625B"/>
    <w:rsid w:val="007F234B"/>
    <w:rsid w:val="007F7DC1"/>
    <w:rsid w:val="0080404C"/>
    <w:rsid w:val="00817E31"/>
    <w:rsid w:val="008801DB"/>
    <w:rsid w:val="0089206C"/>
    <w:rsid w:val="0090480F"/>
    <w:rsid w:val="00913D76"/>
    <w:rsid w:val="00930DD4"/>
    <w:rsid w:val="00944819"/>
    <w:rsid w:val="00950392"/>
    <w:rsid w:val="00960E5D"/>
    <w:rsid w:val="00963CE8"/>
    <w:rsid w:val="00974CC6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04A2E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9676A"/>
    <w:rsid w:val="00CB2F07"/>
    <w:rsid w:val="00CF321D"/>
    <w:rsid w:val="00CF78E6"/>
    <w:rsid w:val="00D1469B"/>
    <w:rsid w:val="00D1603D"/>
    <w:rsid w:val="00D31138"/>
    <w:rsid w:val="00D33AA5"/>
    <w:rsid w:val="00D4337B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76E76"/>
    <w:rsid w:val="00EA2C97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DC1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F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DC1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F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0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228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8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63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33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90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54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2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1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87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17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18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orms/S005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D9E34-FF7F-4444-A71E-F6DEEF9C4622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customXml/itemProps4.xml><?xml version="1.0" encoding="utf-8"?>
<ds:datastoreItem xmlns:ds="http://schemas.openxmlformats.org/officeDocument/2006/customXml" ds:itemID="{5E849ED0-F00D-49BA-99CC-9DCB7E030F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S005</dc:title>
  <dc:creator>BRIFFOZ Eric (EMPL-EXT)</dc:creator>
  <cp:lastModifiedBy>BRIFFOZ Eric (EMPL-EXT)</cp:lastModifiedBy>
  <cp:revision>3</cp:revision>
  <dcterms:created xsi:type="dcterms:W3CDTF">2017-05-29T13:30:00Z</dcterms:created>
  <dcterms:modified xsi:type="dcterms:W3CDTF">2017-05-29T13:31:00Z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