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8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2E55C7" w:rsidRPr="00AE4A97" w14:paraId="3BB53E20" w14:textId="77777777" w:rsidTr="002E55C7">
        <w:tc>
          <w:tcPr>
            <w:tcW w:w="10065" w:type="dxa"/>
            <w:shd w:val="clear" w:color="auto" w:fill="BFBFBF"/>
          </w:tcPr>
          <w:p w14:paraId="5DFC8633" w14:textId="6EF63C30" w:rsidR="002E55C7" w:rsidRPr="00FF3017" w:rsidRDefault="002E55C7" w:rsidP="006E1B24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hAnsi="Calibri"/>
                <w:b/>
              </w:rPr>
              <w:t>Wie ersuche ich um Erstattung von Kosten der Verwaltungskontrolle oder medizinischer Informationen?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55C7" w:rsidRPr="00AE4A97" w14:paraId="0027D0C5" w14:textId="77777777" w:rsidTr="00230612">
        <w:tc>
          <w:tcPr>
            <w:tcW w:w="10065" w:type="dxa"/>
            <w:tcBorders>
              <w:bottom w:val="single" w:sz="4" w:space="0" w:color="auto"/>
            </w:tcBorders>
          </w:tcPr>
          <w:p w14:paraId="331D252C" w14:textId="61BDB6DE" w:rsidR="002E55C7" w:rsidRPr="00FF3017" w:rsidRDefault="00FF3017" w:rsidP="00230612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hAnsi="Calibri"/>
                <w:b/>
              </w:rPr>
              <w:t xml:space="preserve">H_BUC_04_Subprozess: </w:t>
            </w:r>
            <w:r>
              <w:rPr>
                <w:rFonts w:ascii="Calibri" w:hAnsi="Calibri"/>
                <w:b/>
              </w:rPr>
              <w:t>Erstattung von Kosten der Verwaltungskontrolle oder medizinischer Informationen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55C7" w:rsidRPr="00230612" w14:paraId="1DC3D141" w14:textId="77777777" w:rsidTr="00CF56AC">
        <w:trPr>
          <w:trHeight w:val="4388"/>
        </w:trPr>
        <w:tc>
          <w:tcPr>
            <w:tcW w:w="10065" w:type="dxa"/>
          </w:tcPr>
          <w:p w14:paraId="470DC43B" w14:textId="3B11C1AC" w:rsidR="002E55C7" w:rsidRDefault="00230612" w:rsidP="00230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Der horizontale Subprozess «Erstattung von Kosten der Verwaltungskontrolle oder medizinischer Informationen» darf nur verwendet werden, wenn um eine Verwaltungskontrolle / medizinische Informationen ersucht wurde, die innerhalb eines sektoriellen Falls erbracht und bestätigt wurden. </w:t>
            </w:r>
            <w:r>
              <w:rPr>
                <w:rFonts w:ascii="Calibri" w:hAnsi="Calibri"/>
              </w:rPr>
              <w:t>Er kann verwendet werden, um um Erstattung von Kosten der Verwaltungskontrolle oder von Kosten medizinischer Informationen zu ersuchen.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62DF0E2" w14:textId="77777777" w:rsidR="00230612" w:rsidRDefault="00230612" w:rsidP="00230612">
            <w:pPr>
              <w:jc w:val="both"/>
              <w:rPr>
                <w:rFonts w:ascii="Calibri" w:eastAsia="Calibri" w:hAnsi="Calibri" w:cs="Calibri"/>
              </w:rPr>
            </w:pPr>
          </w:p>
          <w:p w14:paraId="5B7F0C0E" w14:textId="77777777" w:rsidR="00230612" w:rsidRDefault="00230612" w:rsidP="00230612">
            <w:pPr>
              <w:spacing w:after="12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  <w:r>
              <w:tab/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9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3"/>
              <w:gridCol w:w="3544"/>
            </w:tblGrid>
            <w:tr w:rsidR="00426343" w:rsidRPr="00326615" w14:paraId="0CCCE643" w14:textId="77777777" w:rsidTr="004960DC">
              <w:trPr>
                <w:trHeight w:val="359"/>
              </w:trPr>
              <w:tc>
                <w:tcPr>
                  <w:tcW w:w="5983" w:type="dxa"/>
                  <w:vMerge w:val="restart"/>
                  <w:shd w:val="clear" w:color="auto" w:fill="auto"/>
                  <w:vAlign w:val="center"/>
                </w:tcPr>
                <w:p w14:paraId="11A00291" w14:textId="77777777" w:rsidR="00426343" w:rsidRPr="00426343" w:rsidRDefault="00426343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544" w:type="dxa"/>
                  <w:shd w:val="clear" w:color="auto" w:fill="1F497D"/>
                  <w:vAlign w:val="center"/>
                </w:tcPr>
                <w:p w14:paraId="428F4167" w14:textId="245FC60F" w:rsidR="00426343" w:rsidRPr="00426343" w:rsidRDefault="00426343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Durchführungsverordnung (987/2009)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26343" w:rsidRPr="00326615" w14:paraId="0A774AE5" w14:textId="77777777" w:rsidTr="004960DC">
              <w:trPr>
                <w:trHeight w:val="359"/>
              </w:trPr>
              <w:tc>
                <w:tcPr>
                  <w:tcW w:w="5983" w:type="dxa"/>
                  <w:vMerge/>
                  <w:shd w:val="clear" w:color="auto" w:fill="auto"/>
                </w:tcPr>
                <w:p w14:paraId="2BAA43A6" w14:textId="77777777" w:rsidR="00426343" w:rsidRPr="00426343" w:rsidRDefault="00426343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3544" w:type="dxa"/>
                  <w:shd w:val="clear" w:color="auto" w:fill="1F497D"/>
                  <w:vAlign w:val="center"/>
                </w:tcPr>
                <w:p w14:paraId="3DF210B2" w14:textId="77777777" w:rsidR="00426343" w:rsidRPr="00426343" w:rsidRDefault="00426343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87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26343" w:rsidRPr="00326615" w14:paraId="1F3524B1" w14:textId="77777777" w:rsidTr="004960DC">
              <w:tc>
                <w:tcPr>
                  <w:tcW w:w="5983" w:type="dxa"/>
                  <w:shd w:val="clear" w:color="auto" w:fill="auto"/>
                </w:tcPr>
                <w:p w14:paraId="1D80D895" w14:textId="2E1C464C" w:rsidR="00426343" w:rsidRPr="00426343" w:rsidRDefault="0074558A" w:rsidP="001230D7">
                  <w:pPr>
                    <w:pStyle w:val="Aufzhlungszeichen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0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H020 Erstattungsantrag – Verwaltungskontrolle / medizinische Informationen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544" w:type="dxa"/>
                  <w:shd w:val="clear" w:color="auto" w:fill="auto"/>
                </w:tcPr>
                <w:p w14:paraId="7301981A" w14:textId="77777777" w:rsidR="00426343" w:rsidRPr="00426343" w:rsidRDefault="00426343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 w:rsidRPr="00426343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26343" w:rsidRPr="00326615" w14:paraId="4D7E5CCB" w14:textId="77777777" w:rsidTr="004960DC">
              <w:tc>
                <w:tcPr>
                  <w:tcW w:w="5983" w:type="dxa"/>
                  <w:shd w:val="clear" w:color="auto" w:fill="auto"/>
                </w:tcPr>
                <w:p w14:paraId="54CD6EE5" w14:textId="50992C97" w:rsidR="00426343" w:rsidRPr="00426343" w:rsidRDefault="0074558A" w:rsidP="00B62CEA">
                  <w:pPr>
                    <w:pStyle w:val="Aufzhlungszeichen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1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H021 Antwort auf Erstattungsantrag – Verwaltungskontrolle / medizinische Informationen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3544" w:type="dxa"/>
                  <w:shd w:val="clear" w:color="auto" w:fill="auto"/>
                </w:tcPr>
                <w:p w14:paraId="682423CD" w14:textId="77777777" w:rsidR="00426343" w:rsidRPr="00426343" w:rsidRDefault="00426343" w:rsidP="00020F50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/>
                    </w:rPr>
                  </w:pPr>
                  <w:r w:rsidRPr="00426343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435CA98" w14:textId="77777777" w:rsidR="00230612" w:rsidRDefault="00230612" w:rsidP="00230612">
            <w:pPr>
              <w:jc w:val="both"/>
              <w:rPr>
                <w:rFonts w:ascii="Calibri" w:eastAsia="Calibri" w:hAnsi="Calibri" w:cs="Calibri"/>
                <w:highlight w:val="yellow"/>
                <w:lang/>
              </w:rPr>
            </w:pPr>
          </w:p>
          <w:p w14:paraId="29A6B4C3" w14:textId="1741A9F0" w:rsidR="00C0790B" w:rsidRPr="00EE1E09" w:rsidRDefault="00C0790B" w:rsidP="00EE1E0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H_BUC_04_Subprozess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8080"/>
            </w:tblGrid>
            <w:tr w:rsidR="00EE1E09" w:rsidRPr="00592DC9" w14:paraId="09D9FB2E" w14:textId="77777777" w:rsidTr="00EE1E09">
              <w:tc>
                <w:tcPr>
                  <w:tcW w:w="1589" w:type="dxa"/>
                  <w:shd w:val="clear" w:color="auto" w:fill="C6D9F1"/>
                </w:tcPr>
                <w:p w14:paraId="2084119C" w14:textId="77777777" w:rsidR="00EE1E09" w:rsidRPr="00EE1E09" w:rsidRDefault="00EE1E09" w:rsidP="00020F5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C6D9F1"/>
                </w:tcPr>
                <w:p w14:paraId="05A44439" w14:textId="77777777" w:rsidR="00EE1E09" w:rsidRPr="00EE1E09" w:rsidRDefault="00EE1E09" w:rsidP="00020F5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E1E09" w:rsidRPr="00AE4A97" w14:paraId="292646DA" w14:textId="77777777" w:rsidTr="00EE1E09">
              <w:tc>
                <w:tcPr>
                  <w:tcW w:w="1589" w:type="dxa"/>
                  <w:shd w:val="clear" w:color="auto" w:fill="auto"/>
                </w:tcPr>
                <w:p w14:paraId="0A85B73B" w14:textId="77777777" w:rsidR="00EE1E09" w:rsidRPr="00EE1E09" w:rsidRDefault="00EE1E09" w:rsidP="00020F5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auto"/>
                </w:tcPr>
                <w:p w14:paraId="46D309A8" w14:textId="206DCC78" w:rsidR="00EE1E09" w:rsidRPr="00EE1E09" w:rsidRDefault="00EE1E09" w:rsidP="00EE1E09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Der auslösende Teilnehmer (Sie) ist aktive Partei des Hauptprozesses, der den Geschäftsvorgang auslöst. </w:t>
                  </w:r>
                  <w:r>
                    <w:rPr>
                      <w:rFonts w:ascii="Calibri" w:hAnsi="Calibri"/>
                      <w:sz w:val="22"/>
                    </w:rPr>
                    <w:t>Auslösender Teilnehmer ist ein Träger, der diese Rolle gemäss Hauptprozess übernehmen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E1E09" w:rsidRPr="00AE4A97" w14:paraId="2F06F15F" w14:textId="77777777" w:rsidTr="00EE1E09">
              <w:tc>
                <w:tcPr>
                  <w:tcW w:w="1589" w:type="dxa"/>
                  <w:shd w:val="clear" w:color="auto" w:fill="auto"/>
                </w:tcPr>
                <w:p w14:paraId="3C78E459" w14:textId="77777777" w:rsidR="00EE1E09" w:rsidRPr="00EE1E09" w:rsidRDefault="00EE1E09" w:rsidP="00020F5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8080" w:type="dxa"/>
                  <w:shd w:val="clear" w:color="auto" w:fill="auto"/>
                </w:tcPr>
                <w:p w14:paraId="04DD0B4B" w14:textId="77777777" w:rsidR="00EE1E09" w:rsidRPr="00EE1E09" w:rsidRDefault="00EE1E09" w:rsidP="00EE1E09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Als weitere(r) Teilnehmer gelten alle anderen aktiven Teilnehmer des Hauptprozesses. </w:t>
                  </w:r>
                  <w:r>
                    <w:rPr>
                      <w:rFonts w:ascii="Calibri" w:hAnsi="Calibri"/>
                      <w:sz w:val="22"/>
                    </w:rPr>
                    <w:t>Je nach Hauptprozess sind dies ein oder mehrere Träger.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6691272" w14:textId="77777777" w:rsidR="00707337" w:rsidRDefault="00707337" w:rsidP="0070733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5E70BF55" w14:textId="77777777" w:rsidR="00707337" w:rsidRPr="00E41499" w:rsidRDefault="00707337" w:rsidP="0070733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7BC9D214" w14:textId="12122785" w:rsidR="00CF56AC" w:rsidRDefault="00CF56AC" w:rsidP="00230612">
            <w:pPr>
              <w:jc w:val="both"/>
              <w:rPr>
                <w:rFonts w:ascii="Calibri" w:eastAsia="Calibri" w:hAnsi="Calibri" w:cs="Calibri"/>
                <w:lang/>
              </w:rPr>
            </w:pPr>
            <w:r>
              <w:rPr>
                <w:rFonts w:ascii="Calibri" w:hAnsi="Calibri"/>
              </w:rPr>
              <w:t xml:space="preserve">Sie füllen das </w:t>
            </w:r>
            <w:hyperlink r:id="rId12">
              <w:r>
                <w:rPr>
                  <w:rStyle w:val="Hyperlink"/>
                  <w:rFonts w:ascii="Calibri" w:hAnsi="Calibri"/>
                </w:rPr>
                <w:t>SED H020</w:t>
              </w:r>
            </w:hyperlink>
            <w:r>
              <w:rPr>
                <w:rFonts w:ascii="Calibri" w:hAnsi="Calibri"/>
              </w:rPr>
              <w:t xml:space="preserve"> – 'Erstattungsantrag – Verwaltungskontrolle / medizinische Informationen' aus und übersenden es zusammen mit etwaigen Anhängen an den/die anderen Teilnehmer. </w:t>
            </w:r>
            <w:r>
              <w:rPr>
                <w:rFonts w:ascii="Calibri" w:hAnsi="Calibri"/>
              </w:rPr>
              <w:t xml:space="preserve">Der/die andere(n) Teilnehmer überprüfen das H020 und die etwaigen Anhänge und antworten mit einem </w:t>
            </w:r>
            <w:hyperlink r:id="rId13">
              <w:r>
                <w:rPr>
                  <w:rStyle w:val="Hyperlink"/>
                  <w:rFonts w:ascii="Calibri" w:hAnsi="Calibri"/>
                </w:rPr>
                <w:t>SED H021</w:t>
              </w:r>
            </w:hyperlink>
            <w:r>
              <w:rPr>
                <w:rFonts w:ascii="Calibri" w:hAnsi="Calibri"/>
              </w:rPr>
              <w:t xml:space="preserve"> – 'Antwort auf Erstattungsantrag – Verwaltungskontrolle / medizinische Informationen'. </w:t>
            </w:r>
            <w:r>
              <w:rPr>
                <w:rFonts w:ascii="Calibri" w:hAnsi="Calibri"/>
              </w:rPr>
              <w:t xml:space="preserve">Sie erhalten ein H021, überprüfen dessen Inhalt und nehmen zur Kenntnis, dass der angeforderte Betrag gutgeheissen wurde. </w:t>
            </w:r>
            <w:r>
              <w:rPr>
                <w:rFonts w:ascii="Calibri" w:hAnsi="Calibri"/>
              </w:rPr>
              <w:t xml:space="preserve">Damit ist der Geschäftsvorgang abgeschlossen. 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A31B880" w14:textId="77777777" w:rsidR="00346BF7" w:rsidRDefault="00346BF7" w:rsidP="00230612">
            <w:pPr>
              <w:jc w:val="both"/>
              <w:rPr>
                <w:rFonts w:ascii="Calibri" w:eastAsia="Calibri" w:hAnsi="Calibri" w:cs="Calibri"/>
                <w:lang/>
              </w:rPr>
            </w:pPr>
          </w:p>
          <w:p w14:paraId="407FDF4A" w14:textId="210B777D" w:rsidR="00346BF7" w:rsidRPr="00346BF7" w:rsidRDefault="00346BF7" w:rsidP="00230612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3D3B0F39" w14:textId="7E626D63" w:rsidR="00EE1E09" w:rsidRPr="00346BF7" w:rsidRDefault="00346BF7" w:rsidP="00230612">
            <w:pPr>
              <w:jc w:val="both"/>
              <w:rPr>
                <w:rFonts w:ascii="Calibri" w:eastAsia="Calibri" w:hAnsi="Calibri" w:cs="Calibri"/>
                <w:lang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7A12CBD0" wp14:editId="0F3EFC51">
                  <wp:extent cx="5760720" cy="18402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4_Sub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84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F56AC" w:rsidRPr="00AE4A97" w14:paraId="24FBD24F" w14:textId="77777777" w:rsidTr="00CF56AC">
        <w:trPr>
          <w:trHeight w:val="1245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674DE5E" w14:textId="63A91E06" w:rsidR="00CF56AC" w:rsidRDefault="00CF56AC" w:rsidP="00230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und dem/den weiteren Teilnehmer(n) stehen folgende administrativen Subprozesse zur Verfügung: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9F1BEAB" w14:textId="77777777" w:rsidR="00CF56AC" w:rsidRDefault="00CF56AC" w:rsidP="00230612">
            <w:pPr>
              <w:jc w:val="both"/>
              <w:rPr>
                <w:rFonts w:ascii="Calibri" w:eastAsia="Calibri" w:hAnsi="Calibri" w:cs="Calibri"/>
              </w:rPr>
            </w:pPr>
          </w:p>
          <w:p w14:paraId="7A2C94F0" w14:textId="68279EC1" w:rsidR="00CF56AC" w:rsidRDefault="0074558A" w:rsidP="00230612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  <w:hyperlink r:id="rId15">
              <w:r>
                <w:rPr>
                  <w:rStyle w:val="Hyperlink"/>
                  <w:rFonts w:ascii="Calibri" w:hAnsi="Calibri"/>
                </w:rPr>
                <w:t>Ich möchte Angaben in einem bereits übersandten SED aktualisieren (AD_BUC_10)</w:t>
              </w:r>
            </w:hyperlink>
          </w:p>
          <w:p w14:paraId="5C6E9BF1" w14:textId="79EE7773" w:rsidR="00CF56AC" w:rsidRDefault="00CF56AC" w:rsidP="00CF56AC">
            <w:pPr>
              <w:rPr>
                <w:rStyle w:val="Hyperlink"/>
                <w:rFonts w:ascii="Calibri" w:eastAsia="Calibri" w:hAnsi="Calibri" w:cs="Calibri"/>
                <w:lang/>
              </w:rPr>
            </w:pPr>
            <w:r>
              <w:rPr>
                <w:rFonts w:ascii="Calibri" w:hAnsi="Calibri"/>
              </w:rPr>
              <w:t>Der Subprozess «Aktualisierung» kann vom auslösenden Teilnehmer und vom/von den anderen Teilnehmer(n) mehrmals verwendet werden.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4F563A1" w14:textId="3C9CCD18" w:rsidR="00CF56AC" w:rsidRPr="00CF56AC" w:rsidRDefault="00CF56AC" w:rsidP="00230612">
            <w:pPr>
              <w:jc w:val="both"/>
              <w:rPr>
                <w:rFonts w:ascii="Calibri" w:eastAsia="Calibri" w:hAnsi="Calibri" w:cs="Calibri"/>
                <w:lang/>
              </w:rPr>
            </w:pP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088D40DB" w:rsidR="00C420DA" w:rsidRPr="00B164C9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B164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0AA086FD" w14:textId="77777777" w:rsidR="00DE28CD" w:rsidRDefault="00DE28CD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563C75B2" w14:textId="77777777" w:rsidR="00DE28CD" w:rsidRDefault="00DE28CD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EFA1F" w14:textId="77777777" w:rsidR="00AE4A97" w:rsidRDefault="00AE4A97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71267" w14:textId="52F15468" w:rsidR="00211A02" w:rsidRPr="00AE4A97" w:rsidRDefault="00AE4A97" w:rsidP="00211A02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70ADB478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H_BUC_04_Subprozess – Erstattung von Kosten der Verwaltungskontrolle oder medizinischer Informationen</w:t>
    </w:r>
  </w:p>
  <w:p w14:paraId="65AED3AE" w14:textId="77777777" w:rsidR="007045AE" w:rsidRPr="00AE4A97" w:rsidRDefault="000C224D" w:rsidP="000C224D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FB_BUC_02 Unterversion 1.0.1</w:t>
    </w:r>
  </w:p>
  <w:p w14:paraId="7E4C7956" w14:textId="5A15581C" w:rsidR="000C224D" w:rsidRPr="00AE4A97" w:rsidRDefault="007045AE" w:rsidP="000C224D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56D7C736" w14:textId="275410DB" w:rsidR="000C224D" w:rsidRPr="00AE4A97" w:rsidRDefault="000C224D" w:rsidP="000C224D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2F023CE8" w14:textId="22E6D5D8" w:rsidR="000C224D" w:rsidRPr="00AE4A97" w:rsidRDefault="000C224D" w:rsidP="000C224D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56D3D" w14:textId="77777777" w:rsidR="00AE4A97" w:rsidRDefault="00AE4A97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56E0EB15" w14:textId="77777777" w:rsidR="00DE28CD" w:rsidRDefault="00DE28CD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690B1153" w14:textId="77777777" w:rsidR="00DE28CD" w:rsidRDefault="00DE28CD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9827" w14:textId="77777777" w:rsidR="00AE4A97" w:rsidRDefault="00AE4A97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88F8" w14:textId="0A3F909C" w:rsidR="00211A02" w:rsidRPr="00AE4A97" w:rsidRDefault="00211A02" w:rsidP="00211A02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4B100941" wp14:editId="413FED16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EBC515F" w14:textId="2DB16A16" w:rsidR="00211A02" w:rsidRDefault="00211A02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A6B8AB2" w14:textId="77777777" w:rsidR="00211A02" w:rsidRDefault="00211A02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419A8" w14:textId="77777777" w:rsidR="00AE4A97" w:rsidRDefault="00AE4A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5D"/>
    <w:multiLevelType w:val="singleLevel"/>
    <w:tmpl w:val="14A429F4"/>
    <w:lvl w:ilvl="0">
      <w:start w:val="1"/>
      <w:numFmt w:val="bullet"/>
      <w:pStyle w:val="Aufzhlungszeiche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 w15:restartNumberingAfterBreak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56A6"/>
    <w:rsid w:val="000121C8"/>
    <w:rsid w:val="00052C57"/>
    <w:rsid w:val="000A68F3"/>
    <w:rsid w:val="000B3328"/>
    <w:rsid w:val="000C1F09"/>
    <w:rsid w:val="000C224D"/>
    <w:rsid w:val="000C62D3"/>
    <w:rsid w:val="000F1DDB"/>
    <w:rsid w:val="00105076"/>
    <w:rsid w:val="001230D7"/>
    <w:rsid w:val="00127312"/>
    <w:rsid w:val="001342C0"/>
    <w:rsid w:val="00142F55"/>
    <w:rsid w:val="00173A29"/>
    <w:rsid w:val="001A7E1F"/>
    <w:rsid w:val="001B500E"/>
    <w:rsid w:val="001C66A2"/>
    <w:rsid w:val="001D06B8"/>
    <w:rsid w:val="001D6BD0"/>
    <w:rsid w:val="001E6B56"/>
    <w:rsid w:val="002029F8"/>
    <w:rsid w:val="0021075B"/>
    <w:rsid w:val="00211A02"/>
    <w:rsid w:val="00230612"/>
    <w:rsid w:val="0023233A"/>
    <w:rsid w:val="00234115"/>
    <w:rsid w:val="002473B8"/>
    <w:rsid w:val="00283767"/>
    <w:rsid w:val="002E55C7"/>
    <w:rsid w:val="002F6A19"/>
    <w:rsid w:val="002F79A2"/>
    <w:rsid w:val="0030294F"/>
    <w:rsid w:val="00304B04"/>
    <w:rsid w:val="003110EC"/>
    <w:rsid w:val="0032305C"/>
    <w:rsid w:val="003237EE"/>
    <w:rsid w:val="00340ADD"/>
    <w:rsid w:val="00346BF7"/>
    <w:rsid w:val="00376E7B"/>
    <w:rsid w:val="003873C7"/>
    <w:rsid w:val="003B7779"/>
    <w:rsid w:val="003C1F83"/>
    <w:rsid w:val="003C56B9"/>
    <w:rsid w:val="003D175F"/>
    <w:rsid w:val="00417AD3"/>
    <w:rsid w:val="0042620D"/>
    <w:rsid w:val="00426343"/>
    <w:rsid w:val="00443229"/>
    <w:rsid w:val="00475694"/>
    <w:rsid w:val="004771D3"/>
    <w:rsid w:val="004960DC"/>
    <w:rsid w:val="004A62FD"/>
    <w:rsid w:val="004C3FA3"/>
    <w:rsid w:val="004C497A"/>
    <w:rsid w:val="00556052"/>
    <w:rsid w:val="00574310"/>
    <w:rsid w:val="005A691C"/>
    <w:rsid w:val="005B1C63"/>
    <w:rsid w:val="005C5671"/>
    <w:rsid w:val="00633F90"/>
    <w:rsid w:val="006728A1"/>
    <w:rsid w:val="0067458C"/>
    <w:rsid w:val="0068633B"/>
    <w:rsid w:val="00697559"/>
    <w:rsid w:val="006975C8"/>
    <w:rsid w:val="006B6BB3"/>
    <w:rsid w:val="006C2F17"/>
    <w:rsid w:val="006E1B24"/>
    <w:rsid w:val="006E463E"/>
    <w:rsid w:val="007045AE"/>
    <w:rsid w:val="00707337"/>
    <w:rsid w:val="007149E7"/>
    <w:rsid w:val="00721A2B"/>
    <w:rsid w:val="00722276"/>
    <w:rsid w:val="00747CCE"/>
    <w:rsid w:val="00765F0D"/>
    <w:rsid w:val="00775EB4"/>
    <w:rsid w:val="0078732C"/>
    <w:rsid w:val="00797344"/>
    <w:rsid w:val="007A77C8"/>
    <w:rsid w:val="007B4BDC"/>
    <w:rsid w:val="0080404C"/>
    <w:rsid w:val="00805038"/>
    <w:rsid w:val="00817E31"/>
    <w:rsid w:val="0089206C"/>
    <w:rsid w:val="008B0154"/>
    <w:rsid w:val="00930DD4"/>
    <w:rsid w:val="00963CE8"/>
    <w:rsid w:val="009B5934"/>
    <w:rsid w:val="009C25E7"/>
    <w:rsid w:val="009E0CC0"/>
    <w:rsid w:val="009E279F"/>
    <w:rsid w:val="009E51FA"/>
    <w:rsid w:val="00A14F81"/>
    <w:rsid w:val="00A22C8C"/>
    <w:rsid w:val="00A27C37"/>
    <w:rsid w:val="00A73764"/>
    <w:rsid w:val="00A748C0"/>
    <w:rsid w:val="00AB3C18"/>
    <w:rsid w:val="00AC3572"/>
    <w:rsid w:val="00AD1264"/>
    <w:rsid w:val="00AD7DDD"/>
    <w:rsid w:val="00AE4A97"/>
    <w:rsid w:val="00AE627F"/>
    <w:rsid w:val="00B164C9"/>
    <w:rsid w:val="00B27FEC"/>
    <w:rsid w:val="00B40A09"/>
    <w:rsid w:val="00B62CEA"/>
    <w:rsid w:val="00B657B4"/>
    <w:rsid w:val="00B6735A"/>
    <w:rsid w:val="00BC1FB8"/>
    <w:rsid w:val="00BC7075"/>
    <w:rsid w:val="00BD2713"/>
    <w:rsid w:val="00BF0737"/>
    <w:rsid w:val="00C0790B"/>
    <w:rsid w:val="00C420DA"/>
    <w:rsid w:val="00C56E22"/>
    <w:rsid w:val="00CB2F07"/>
    <w:rsid w:val="00CF56AC"/>
    <w:rsid w:val="00CF78E6"/>
    <w:rsid w:val="00D1469B"/>
    <w:rsid w:val="00D1603D"/>
    <w:rsid w:val="00D17D41"/>
    <w:rsid w:val="00D31138"/>
    <w:rsid w:val="00D46108"/>
    <w:rsid w:val="00D46796"/>
    <w:rsid w:val="00D51634"/>
    <w:rsid w:val="00D53DD0"/>
    <w:rsid w:val="00DA0D06"/>
    <w:rsid w:val="00DB42AB"/>
    <w:rsid w:val="00DD5A57"/>
    <w:rsid w:val="00DE28CD"/>
    <w:rsid w:val="00DE3622"/>
    <w:rsid w:val="00DF6399"/>
    <w:rsid w:val="00DF696A"/>
    <w:rsid w:val="00E22C24"/>
    <w:rsid w:val="00E35CA0"/>
    <w:rsid w:val="00E56507"/>
    <w:rsid w:val="00E56E4B"/>
    <w:rsid w:val="00E57012"/>
    <w:rsid w:val="00E61B8D"/>
    <w:rsid w:val="00E7349B"/>
    <w:rsid w:val="00E75C2A"/>
    <w:rsid w:val="00ED3974"/>
    <w:rsid w:val="00ED6C57"/>
    <w:rsid w:val="00EE1E09"/>
    <w:rsid w:val="00F3569D"/>
    <w:rsid w:val="00F40A7A"/>
    <w:rsid w:val="00F503C9"/>
    <w:rsid w:val="00F67084"/>
    <w:rsid w:val="00F85F43"/>
    <w:rsid w:val="00F941E7"/>
    <w:rsid w:val="00FB704D"/>
    <w:rsid w:val="00FC1F67"/>
    <w:rsid w:val="00FF301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2A4C0F8C-0EB0-442F-977F-BF892E27898A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Listenabsatz">
    <w:name w:val="List Paragraph"/>
    <w:basedOn w:val="Standard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de-CH" w:eastAsia="de-CH"/>
    </w:rPr>
  </w:style>
  <w:style xmlns:w15="http://schemas.microsoft.com/office/word/2012/wordml" xmlns:w16se="http://schemas.microsoft.com/office/word/2015/wordml/symex" w:type="table" w:customStyle="1" w:styleId="Tabellenraster1">
    <w:name w:val="Tabellenraster1"/>
    <w:basedOn w:val="NormaleTabelle"/>
    <w:next w:val="Tabellenraster"/>
    <w:uiPriority w:val="59"/>
    <w:rsid w:val="0042620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2">
    <w:name w:val="Tabellenraster2"/>
    <w:basedOn w:val="NormaleTabelle"/>
    <w:next w:val="Tabellenraster"/>
    <w:uiPriority w:val="59"/>
    <w:rsid w:val="00B164C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3">
    <w:name w:val="Tabellenraster3"/>
    <w:basedOn w:val="NormaleTabelle"/>
    <w:next w:val="Tabellenraster"/>
    <w:uiPriority w:val="59"/>
    <w:rsid w:val="00A14F81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4">
    <w:name w:val="Tabellenraster4"/>
    <w:basedOn w:val="NormaleTabelle"/>
    <w:next w:val="Tabellenraster"/>
    <w:uiPriority w:val="59"/>
    <w:rsid w:val="00F6708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5">
    <w:name w:val="Tabellenraster5"/>
    <w:basedOn w:val="NormaleTabelle"/>
    <w:next w:val="Tabellenraster"/>
    <w:uiPriority w:val="59"/>
    <w:rsid w:val="008B0154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6">
    <w:name w:val="Tabellenraster6"/>
    <w:basedOn w:val="NormaleTabelle"/>
    <w:next w:val="Tabellenraster"/>
    <w:uiPriority w:val="59"/>
    <w:rsid w:val="001C66A2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7">
    <w:name w:val="Tabellenraster7"/>
    <w:basedOn w:val="NormaleTabelle"/>
    <w:next w:val="Tabellenraster"/>
    <w:uiPriority w:val="59"/>
    <w:rsid w:val="00E7349B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table" w:customStyle="1" w:styleId="Tabellenraster8">
    <w:name w:val="Tabellenraster8"/>
    <w:basedOn w:val="NormaleTabelle"/>
    <w:next w:val="Tabellenraster"/>
    <w:uiPriority w:val="59"/>
    <w:rsid w:val="002E55C7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NurText">
    <w:name w:val="Plain Text"/>
    <w:basedOn w:val="Standard"/>
    <w:link w:val="NurTextZchn"/>
    <w:uiPriority w:val="99"/>
    <w:semiHidden/>
    <w:unhideWhenUsed/>
    <w:rsid w:val="00475694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character" w:customStyle="1" w:styleId="NurTextZchn">
    <w:name w:val="Nur Text Zchn"/>
    <w:basedOn w:val="Absatz-Standardschriftart"/>
    <w:link w:val="NurText"/>
    <w:uiPriority w:val="99"/>
    <w:semiHidden/>
    <w:rsid w:val="00475694"/>
    <w:rPr>
      <w:rFonts w:ascii="Consolas" w:hAnsi="Consolas" w:cs="Consolas"/>
      <w:sz w:val="21"/>
      <w:szCs w:val="21"/>
    </w:rPr>
  </w:style>
  <w:style xmlns:w15="http://schemas.microsoft.com/office/word/2012/wordml" xmlns:w16se="http://schemas.microsoft.com/office/word/2015/wordml/symex" w:type="paragraph" w:styleId="Textkrper">
    <w:name w:val="Body Text"/>
    <w:basedOn w:val="Standard"/>
    <w:link w:val="TextkrperZchn"/>
    <w:uiPriority w:val="99"/>
    <w:semiHidden/>
    <w:unhideWhenUsed/>
    <w:rsid w:val="00475694"/>
    <w:pPr>
      <w:spacing w:after="120"/>
    </w:pPr>
  </w:style>
  <w:style xmlns:w15="http://schemas.microsoft.com/office/word/2012/wordml" xmlns:w16se="http://schemas.microsoft.com/office/word/2015/wordml/symex" w:type="character" w:customStyle="1" w:styleId="TextkrperZchn">
    <w:name w:val="Textkörper Zchn"/>
    <w:basedOn w:val="Absatz-Standardschriftart"/>
    <w:link w:val="Textkrper"/>
    <w:uiPriority w:val="99"/>
    <w:semiHidden/>
    <w:rsid w:val="00475694"/>
  </w:style>
  <w:style xmlns:w15="http://schemas.microsoft.com/office/word/2012/wordml" xmlns:w16se="http://schemas.microsoft.com/office/word/2015/wordml/symex" w:type="paragraph" w:styleId="Aufzhlungszeichen4">
    <w:name w:val="List Bullet 4"/>
    <w:basedOn w:val="Standard"/>
    <w:uiPriority w:val="99"/>
    <w:rsid w:val="00426343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de-CH"/>
    </w:rPr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CF56AC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211A02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211A02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211A02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211A02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211A02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1A02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styleId="BesuchterLink">
    <w:name w:val="FollowedHyperlink"/>
    <w:basedOn w:val="Absatz-Standardschriftart"/>
    <w:uiPriority w:val="99"/>
    <w:semiHidden/>
    <w:unhideWhenUsed/>
    <w:rsid w:val="00B62CEA"/>
    <w:rPr>
      <w:color w:val="954F72" w:themeColor="followedHyperlink"/>
      <w:u w:val="single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SEDs/H021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../SEDs/H020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SEDs/H021.docx" TargetMode="External"/><Relationship Id="rId24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../../Administrative_Sub-Processes/AD_BUC_10_Subprocess.docx%20" TargetMode="External"/><Relationship Id="rId23" Type="http://schemas.openxmlformats.org/officeDocument/2006/relationships/theme" Target="theme/theme1.xml"/><Relationship Id="rId10" Type="http://schemas.openxmlformats.org/officeDocument/2006/relationships/hyperlink" Target="../SEDs/H020.docx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B9D31-8308-46F4-87D8-91F907977DDB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1812</Characters>
  <Application>Microsoft Office Word</Application>
  <DocSecurity>0</DocSecurity>
  <Lines>69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sd_190120_INT_H_BUC_04_Subprocess_DE</dc:title>
  <dc:creator>Pomilio-Busato Nadia BSV</dc:creator>
  <cp:lastModifiedBy>Pomilio-Busato Nadia BSV</cp:lastModifiedBy>
  <cp:revision>2</cp:revision>
  <dcterms:created xsi:type="dcterms:W3CDTF">2019-02-05T07:23:00Z</dcterms:created>
  <dcterms:modified xsi:type="dcterms:W3CDTF">2019-02-05T07:23:00Z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