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1A8" w:rsidRPr="00416B3D" w:rsidRDefault="003631A8" w:rsidP="003631A8">
      <w:pPr>
        <w:pStyle w:val="Titre2"/>
        <w:rPr>
          <w:rFonts w:eastAsia="Times New Roman"/>
          <w:sz w:val="28"/>
          <w:szCs w:val="28"/>
        </w:rPr>
      </w:pPr>
      <w:r w:rsidRPr="00416B3D">
        <w:rPr>
          <w:rFonts w:eastAsia="Times New Roman"/>
          <w:sz w:val="28"/>
          <w:szCs w:val="28"/>
        </w:rPr>
        <w:t>Horizontal Sub-Processes (H-Sub)</w:t>
      </w:r>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522"/>
        <w:gridCol w:w="2006"/>
        <w:gridCol w:w="3975"/>
        <w:gridCol w:w="841"/>
      </w:tblGrid>
      <w:tr w:rsidR="003631A8" w:rsidRPr="00416B3D" w:rsidTr="00570A85">
        <w:tc>
          <w:tcPr>
            <w:tcW w:w="25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jc w:val="center"/>
              <w:rPr>
                <w:rFonts w:eastAsia="Times New Roman"/>
                <w:b/>
                <w:bCs/>
                <w:sz w:val="22"/>
                <w:szCs w:val="22"/>
              </w:rPr>
            </w:pPr>
            <w:r w:rsidRPr="00416B3D">
              <w:rPr>
                <w:rFonts w:eastAsia="Times New Roman"/>
                <w:b/>
                <w:bCs/>
                <w:sz w:val="22"/>
                <w:szCs w:val="22"/>
              </w:rPr>
              <w:t>BUC Code</w:t>
            </w:r>
          </w:p>
        </w:tc>
        <w:tc>
          <w:tcPr>
            <w:tcW w:w="20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jc w:val="center"/>
              <w:rPr>
                <w:rFonts w:eastAsia="Times New Roman"/>
                <w:b/>
                <w:bCs/>
                <w:sz w:val="22"/>
                <w:szCs w:val="22"/>
              </w:rPr>
            </w:pPr>
            <w:r w:rsidRPr="00416B3D">
              <w:rPr>
                <w:rFonts w:eastAsia="Times New Roman"/>
                <w:b/>
                <w:bCs/>
                <w:sz w:val="22"/>
                <w:szCs w:val="22"/>
              </w:rPr>
              <w:t>BUC Name</w:t>
            </w:r>
          </w:p>
        </w:tc>
        <w:tc>
          <w:tcPr>
            <w:tcW w:w="39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jc w:val="center"/>
              <w:rPr>
                <w:rFonts w:eastAsia="Times New Roman"/>
                <w:b/>
                <w:bCs/>
                <w:sz w:val="22"/>
                <w:szCs w:val="22"/>
              </w:rPr>
            </w:pPr>
            <w:r w:rsidRPr="00416B3D">
              <w:rPr>
                <w:rFonts w:eastAsia="Times New Roman"/>
                <w:b/>
                <w:bCs/>
                <w:sz w:val="22"/>
                <w:szCs w:val="22"/>
              </w:rPr>
              <w:t>Description</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jc w:val="center"/>
              <w:rPr>
                <w:rFonts w:eastAsia="Times New Roman"/>
                <w:b/>
                <w:bCs/>
                <w:sz w:val="22"/>
                <w:szCs w:val="22"/>
              </w:rPr>
            </w:pPr>
            <w:r w:rsidRPr="00416B3D">
              <w:rPr>
                <w:rFonts w:eastAsia="Times New Roman"/>
                <w:b/>
                <w:bCs/>
                <w:sz w:val="22"/>
                <w:szCs w:val="22"/>
              </w:rPr>
              <w:t> SEDS</w:t>
            </w:r>
          </w:p>
        </w:tc>
      </w:tr>
      <w:tr w:rsidR="003631A8" w:rsidRPr="00416B3D" w:rsidTr="00570A85">
        <w:trPr>
          <w:cantSplit/>
        </w:trPr>
        <w:tc>
          <w:tcPr>
            <w:tcW w:w="25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Titre3"/>
              <w:rPr>
                <w:rFonts w:eastAsia="Times New Roman"/>
                <w:sz w:val="22"/>
                <w:szCs w:val="22"/>
              </w:rPr>
            </w:pPr>
            <w:r w:rsidRPr="00416B3D">
              <w:rPr>
                <w:rFonts w:eastAsia="Times New Roman"/>
                <w:sz w:val="22"/>
                <w:szCs w:val="22"/>
              </w:rPr>
              <w:t>H_BUC_01_Subprocess</w:t>
            </w:r>
          </w:p>
        </w:tc>
        <w:tc>
          <w:tcPr>
            <w:tcW w:w="20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Ad-hoc Exchange of Information </w:t>
            </w:r>
          </w:p>
        </w:tc>
        <w:tc>
          <w:tcPr>
            <w:tcW w:w="39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This BUC allows a Member State to request ad-hoc information from another Member State</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H001, H002</w:t>
            </w:r>
          </w:p>
        </w:tc>
      </w:tr>
      <w:tr w:rsidR="003631A8" w:rsidRPr="00416B3D" w:rsidTr="00570A85">
        <w:trPr>
          <w:cantSplit/>
        </w:trPr>
        <w:tc>
          <w:tcPr>
            <w:tcW w:w="25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Titre3"/>
              <w:rPr>
                <w:rFonts w:eastAsia="Times New Roman"/>
                <w:sz w:val="22"/>
                <w:szCs w:val="22"/>
              </w:rPr>
            </w:pPr>
            <w:r w:rsidRPr="00416B3D">
              <w:rPr>
                <w:rFonts w:eastAsia="Times New Roman"/>
                <w:sz w:val="22"/>
                <w:szCs w:val="22"/>
              </w:rPr>
              <w:t>H_BUC_02_Subprocess</w:t>
            </w:r>
          </w:p>
        </w:tc>
        <w:tc>
          <w:tcPr>
            <w:tcW w:w="20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Determine Residence, Disagreement, Procedure, Notification of Residence, Request for Information</w:t>
            </w:r>
          </w:p>
        </w:tc>
        <w:tc>
          <w:tcPr>
            <w:tcW w:w="39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 xml:space="preserve">The goal of this BUC is to enable the exchange of information on residence which are based on the elements of residence listed in Article 11 Regulation (EC) 987/2009. </w:t>
            </w:r>
            <w:r w:rsidRPr="00416B3D">
              <w:rPr>
                <w:rFonts w:eastAsia="Times New Roman"/>
                <w:sz w:val="22"/>
                <w:szCs w:val="22"/>
              </w:rPr>
              <w:br/>
              <w:t xml:space="preserve">This BUC can be used for the following situations: </w:t>
            </w:r>
            <w:r w:rsidRPr="00416B3D">
              <w:rPr>
                <w:rFonts w:eastAsia="Times New Roman"/>
                <w:sz w:val="22"/>
                <w:szCs w:val="22"/>
              </w:rPr>
              <w:br/>
              <w:t>- to gather information concerning elements of residence in order to make a national decision on residence</w:t>
            </w:r>
            <w:r w:rsidRPr="00416B3D">
              <w:rPr>
                <w:rFonts w:eastAsia="Times New Roman"/>
                <w:sz w:val="22"/>
                <w:szCs w:val="22"/>
              </w:rPr>
              <w:br/>
              <w:t>- to gather information on residence in any other situation where this information is necessary</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H003, H004 H005, H006</w:t>
            </w:r>
          </w:p>
        </w:tc>
      </w:tr>
      <w:tr w:rsidR="003631A8" w:rsidRPr="00416B3D" w:rsidTr="00570A85">
        <w:trPr>
          <w:cantSplit/>
        </w:trPr>
        <w:tc>
          <w:tcPr>
            <w:tcW w:w="25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Titre3"/>
              <w:rPr>
                <w:rFonts w:eastAsia="Times New Roman"/>
                <w:sz w:val="22"/>
                <w:szCs w:val="22"/>
              </w:rPr>
            </w:pPr>
            <w:r w:rsidRPr="00416B3D">
              <w:rPr>
                <w:rFonts w:eastAsia="Times New Roman"/>
                <w:sz w:val="22"/>
                <w:szCs w:val="22"/>
              </w:rPr>
              <w:t>H_BUC_03a_Subprocess</w:t>
            </w:r>
          </w:p>
        </w:tc>
        <w:tc>
          <w:tcPr>
            <w:tcW w:w="20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Change of Legislation Applicable, Notification</w:t>
            </w:r>
          </w:p>
        </w:tc>
        <w:tc>
          <w:tcPr>
            <w:tcW w:w="39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This BUC contains the process on change of legislatio</w:t>
            </w:r>
            <w:r>
              <w:rPr>
                <w:rFonts w:eastAsia="Times New Roman"/>
                <w:sz w:val="22"/>
                <w:szCs w:val="22"/>
              </w:rPr>
              <w:t>n applicable - Notification, as</w:t>
            </w:r>
            <w:r w:rsidRPr="00416B3D">
              <w:rPr>
                <w:rFonts w:eastAsia="Times New Roman"/>
                <w:sz w:val="22"/>
                <w:szCs w:val="22"/>
              </w:rPr>
              <w:t xml:space="preserve"> described in the Guidelines as the flow numbers F-H005. This BUC is designed to implement Article 20 (2) of Regulation (EC) No 987/2009. </w:t>
            </w:r>
            <w:r w:rsidRPr="00416B3D">
              <w:rPr>
                <w:rFonts w:eastAsia="Times New Roman"/>
                <w:sz w:val="22"/>
                <w:szCs w:val="22"/>
              </w:rPr>
              <w:br/>
              <w:t>The BUC can be used to notify the institution in the former Member State on the date when the new Member State’s legislation became applicable to the person concerned. </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H010</w:t>
            </w:r>
          </w:p>
        </w:tc>
      </w:tr>
      <w:tr w:rsidR="003631A8" w:rsidRPr="00416B3D" w:rsidTr="00570A85">
        <w:trPr>
          <w:cantSplit/>
        </w:trPr>
        <w:tc>
          <w:tcPr>
            <w:tcW w:w="25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Titre3"/>
              <w:rPr>
                <w:rFonts w:eastAsia="Times New Roman"/>
                <w:sz w:val="22"/>
                <w:szCs w:val="22"/>
              </w:rPr>
            </w:pPr>
            <w:r w:rsidRPr="00416B3D">
              <w:rPr>
                <w:rFonts w:eastAsia="Times New Roman"/>
                <w:sz w:val="22"/>
                <w:szCs w:val="22"/>
              </w:rPr>
              <w:t>H_BUC_03b_Subprocess</w:t>
            </w:r>
          </w:p>
        </w:tc>
        <w:tc>
          <w:tcPr>
            <w:tcW w:w="20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C</w:t>
            </w:r>
            <w:r>
              <w:rPr>
                <w:rFonts w:eastAsia="Times New Roman"/>
                <w:sz w:val="22"/>
                <w:szCs w:val="22"/>
              </w:rPr>
              <w:t>hange of Legislation Applicable</w:t>
            </w:r>
            <w:r w:rsidRPr="00416B3D">
              <w:rPr>
                <w:rFonts w:eastAsia="Times New Roman"/>
                <w:sz w:val="22"/>
                <w:szCs w:val="22"/>
              </w:rPr>
              <w:t>, Request for information  </w:t>
            </w:r>
          </w:p>
        </w:tc>
        <w:tc>
          <w:tcPr>
            <w:tcW w:w="39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This BUC contains the process on change of legislation applicable – Request for information, as described in the Guidelines as the flow number F-H006. This BUC is designed to implement Article 20 (2) of Regulation (EC) No 987/2009. </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H011, H012</w:t>
            </w:r>
          </w:p>
        </w:tc>
      </w:tr>
      <w:tr w:rsidR="003631A8" w:rsidRPr="00416B3D" w:rsidTr="00570A85">
        <w:trPr>
          <w:cantSplit/>
        </w:trPr>
        <w:tc>
          <w:tcPr>
            <w:tcW w:w="25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Titre3"/>
              <w:rPr>
                <w:rFonts w:eastAsia="Times New Roman"/>
                <w:sz w:val="22"/>
                <w:szCs w:val="22"/>
              </w:rPr>
            </w:pPr>
            <w:r w:rsidRPr="00416B3D">
              <w:rPr>
                <w:rFonts w:eastAsia="Times New Roman"/>
                <w:sz w:val="22"/>
                <w:szCs w:val="22"/>
              </w:rPr>
              <w:t>H_BUC_04_Subprocess</w:t>
            </w:r>
          </w:p>
        </w:tc>
        <w:tc>
          <w:tcPr>
            <w:tcW w:w="20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NormalWeb"/>
              <w:rPr>
                <w:sz w:val="22"/>
                <w:szCs w:val="22"/>
              </w:rPr>
            </w:pPr>
            <w:r w:rsidRPr="00416B3D">
              <w:rPr>
                <w:color w:val="333333"/>
                <w:sz w:val="22"/>
                <w:szCs w:val="22"/>
              </w:rPr>
              <w:t>Reimbursement of Administrative Check or Medical examination</w:t>
            </w:r>
          </w:p>
        </w:tc>
        <w:tc>
          <w:tcPr>
            <w:tcW w:w="39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NormalWeb"/>
              <w:rPr>
                <w:sz w:val="22"/>
                <w:szCs w:val="22"/>
              </w:rPr>
            </w:pPr>
            <w:r w:rsidRPr="00416B3D">
              <w:rPr>
                <w:sz w:val="22"/>
                <w:szCs w:val="22"/>
              </w:rPr>
              <w:t xml:space="preserve">This BUC allows for </w:t>
            </w:r>
            <w:proofErr w:type="gramStart"/>
            <w:r w:rsidRPr="00416B3D">
              <w:rPr>
                <w:sz w:val="22"/>
                <w:szCs w:val="22"/>
              </w:rPr>
              <w:t>the is</w:t>
            </w:r>
            <w:proofErr w:type="gramEnd"/>
            <w:r w:rsidRPr="00416B3D">
              <w:rPr>
                <w:sz w:val="22"/>
                <w:szCs w:val="22"/>
              </w:rPr>
              <w:t xml:space="preserve"> the flow for reimbursement of expenses related to requested administrative checks or medical examinations between the creditor and debtor institutions in two Member States.</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NormalWeb"/>
              <w:rPr>
                <w:sz w:val="22"/>
                <w:szCs w:val="22"/>
              </w:rPr>
            </w:pPr>
            <w:r w:rsidRPr="00416B3D">
              <w:rPr>
                <w:sz w:val="22"/>
                <w:szCs w:val="22"/>
              </w:rPr>
              <w:t>H020, H021</w:t>
            </w:r>
          </w:p>
        </w:tc>
      </w:tr>
      <w:tr w:rsidR="003631A8" w:rsidRPr="00416B3D" w:rsidTr="00570A85">
        <w:trPr>
          <w:cantSplit/>
        </w:trPr>
        <w:tc>
          <w:tcPr>
            <w:tcW w:w="25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Titre3"/>
              <w:rPr>
                <w:rFonts w:eastAsia="Times New Roman"/>
                <w:sz w:val="22"/>
                <w:szCs w:val="22"/>
              </w:rPr>
            </w:pPr>
            <w:r w:rsidRPr="00416B3D">
              <w:rPr>
                <w:rFonts w:eastAsia="Times New Roman"/>
                <w:sz w:val="22"/>
                <w:szCs w:val="22"/>
              </w:rPr>
              <w:t>H_BUC_05_Subprocess</w:t>
            </w:r>
          </w:p>
        </w:tc>
        <w:tc>
          <w:tcPr>
            <w:tcW w:w="20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Exchange of PIN</w:t>
            </w:r>
          </w:p>
        </w:tc>
        <w:tc>
          <w:tcPr>
            <w:tcW w:w="39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This BUC allows a MS Exchange of Personal Identification Numbers under Art 52 when Migrant Workers move to another MS and register to work. </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H061, H062</w:t>
            </w:r>
          </w:p>
        </w:tc>
      </w:tr>
      <w:tr w:rsidR="003631A8" w:rsidRPr="00416B3D" w:rsidTr="00570A85">
        <w:trPr>
          <w:cantSplit/>
        </w:trPr>
        <w:tc>
          <w:tcPr>
            <w:tcW w:w="25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Titre3"/>
              <w:rPr>
                <w:rFonts w:eastAsia="Times New Roman"/>
                <w:sz w:val="22"/>
                <w:szCs w:val="22"/>
              </w:rPr>
            </w:pPr>
            <w:r w:rsidRPr="00416B3D">
              <w:rPr>
                <w:rFonts w:eastAsia="Times New Roman"/>
                <w:sz w:val="22"/>
                <w:szCs w:val="22"/>
              </w:rPr>
              <w:lastRenderedPageBreak/>
              <w:t>H_BUC_06_Subprocess</w:t>
            </w:r>
          </w:p>
        </w:tc>
        <w:tc>
          <w:tcPr>
            <w:tcW w:w="20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Transfer of Claim/Document/</w:t>
            </w:r>
            <w:r>
              <w:rPr>
                <w:rFonts w:eastAsia="Times New Roman"/>
                <w:sz w:val="22"/>
                <w:szCs w:val="22"/>
              </w:rPr>
              <w:br/>
            </w:r>
            <w:r w:rsidRPr="00416B3D">
              <w:rPr>
                <w:rFonts w:eastAsia="Times New Roman"/>
                <w:sz w:val="22"/>
                <w:szCs w:val="22"/>
              </w:rPr>
              <w:t>Information</w:t>
            </w:r>
          </w:p>
        </w:tc>
        <w:tc>
          <w:tcPr>
            <w:tcW w:w="39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This BUC allows for the exchange of a mistakenly submitted a claim, a document or any relevant information to an institution in the territory of a Member State other than that in which the institution designated in accordance with the Regulation (EC) 987/2009 is situated</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H065, H066</w:t>
            </w:r>
          </w:p>
        </w:tc>
      </w:tr>
      <w:tr w:rsidR="003631A8" w:rsidRPr="00416B3D" w:rsidTr="00570A85">
        <w:trPr>
          <w:cantSplit/>
        </w:trPr>
        <w:tc>
          <w:tcPr>
            <w:tcW w:w="25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Titre3"/>
              <w:rPr>
                <w:rFonts w:eastAsia="Times New Roman"/>
                <w:sz w:val="22"/>
                <w:szCs w:val="22"/>
              </w:rPr>
            </w:pPr>
            <w:r w:rsidRPr="00416B3D">
              <w:rPr>
                <w:rFonts w:eastAsia="Times New Roman"/>
                <w:sz w:val="22"/>
                <w:szCs w:val="22"/>
              </w:rPr>
              <w:t>H_BUC_07_Subprocess</w:t>
            </w:r>
          </w:p>
        </w:tc>
        <w:tc>
          <w:tcPr>
            <w:tcW w:w="20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Notification of Death</w:t>
            </w:r>
          </w:p>
        </w:tc>
        <w:tc>
          <w:tcPr>
            <w:tcW w:w="39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This BUC allows for the notification of the death of a person under Articles 5 and 76 of Regulation (EC) No 883/2004 and is used to inform the other Member State about the date and place of death of a person.</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H070</w:t>
            </w:r>
          </w:p>
        </w:tc>
      </w:tr>
      <w:tr w:rsidR="003631A8" w:rsidRPr="00416B3D" w:rsidTr="00570A85">
        <w:trPr>
          <w:cantSplit/>
        </w:trPr>
        <w:tc>
          <w:tcPr>
            <w:tcW w:w="25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Titre3"/>
              <w:rPr>
                <w:rFonts w:eastAsia="Times New Roman"/>
                <w:sz w:val="22"/>
                <w:szCs w:val="22"/>
              </w:rPr>
            </w:pPr>
            <w:r w:rsidRPr="00416B3D">
              <w:rPr>
                <w:rFonts w:eastAsia="Times New Roman"/>
                <w:sz w:val="22"/>
                <w:szCs w:val="22"/>
              </w:rPr>
              <w:t>H_BUC_08_Subprocess</w:t>
            </w:r>
          </w:p>
        </w:tc>
        <w:tc>
          <w:tcPr>
            <w:tcW w:w="20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Request for Medical Report</w:t>
            </w:r>
          </w:p>
        </w:tc>
        <w:tc>
          <w:tcPr>
            <w:tcW w:w="39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This BUC allows for the exchange of Medical Information (A Medical Report) prepare by the doctors of the MS where the person resides.  </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H120, H121</w:t>
            </w:r>
          </w:p>
        </w:tc>
      </w:tr>
      <w:tr w:rsidR="003631A8" w:rsidRPr="00416B3D" w:rsidTr="00570A85">
        <w:trPr>
          <w:cantSplit/>
        </w:trPr>
        <w:tc>
          <w:tcPr>
            <w:tcW w:w="25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Titre3"/>
              <w:rPr>
                <w:rFonts w:eastAsia="Times New Roman"/>
                <w:sz w:val="22"/>
                <w:szCs w:val="22"/>
              </w:rPr>
            </w:pPr>
            <w:r w:rsidRPr="00416B3D">
              <w:rPr>
                <w:rFonts w:eastAsia="Times New Roman"/>
                <w:sz w:val="22"/>
                <w:szCs w:val="22"/>
              </w:rPr>
              <w:t>H_BUC_09_Subprocess</w:t>
            </w:r>
          </w:p>
        </w:tc>
        <w:tc>
          <w:tcPr>
            <w:tcW w:w="20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Notification of Medical Information</w:t>
            </w:r>
          </w:p>
        </w:tc>
        <w:tc>
          <w:tcPr>
            <w:tcW w:w="39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This BUC allows for Notification of Medical Information (A Medical Report) prepared by the doctors of the MS where the person resides.  </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rPr>
                <w:rFonts w:eastAsia="Times New Roman"/>
                <w:sz w:val="22"/>
                <w:szCs w:val="22"/>
              </w:rPr>
            </w:pPr>
            <w:r w:rsidRPr="00416B3D">
              <w:rPr>
                <w:rFonts w:eastAsia="Times New Roman"/>
                <w:sz w:val="22"/>
                <w:szCs w:val="22"/>
              </w:rPr>
              <w:t>H120</w:t>
            </w:r>
          </w:p>
        </w:tc>
      </w:tr>
      <w:tr w:rsidR="003631A8" w:rsidRPr="00416B3D" w:rsidTr="00570A85">
        <w:trPr>
          <w:cantSplit/>
        </w:trPr>
        <w:tc>
          <w:tcPr>
            <w:tcW w:w="25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Titre3"/>
              <w:rPr>
                <w:rFonts w:eastAsia="Times New Roman"/>
                <w:sz w:val="22"/>
                <w:szCs w:val="22"/>
              </w:rPr>
            </w:pPr>
            <w:r w:rsidRPr="00416B3D">
              <w:rPr>
                <w:rFonts w:eastAsia="Times New Roman"/>
                <w:sz w:val="22"/>
                <w:szCs w:val="22"/>
              </w:rPr>
              <w:t>H_BUC_10_Subprocess</w:t>
            </w:r>
          </w:p>
        </w:tc>
        <w:tc>
          <w:tcPr>
            <w:tcW w:w="20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NormalWeb"/>
              <w:rPr>
                <w:sz w:val="22"/>
                <w:szCs w:val="22"/>
              </w:rPr>
            </w:pPr>
            <w:r w:rsidRPr="00416B3D">
              <w:rPr>
                <w:sz w:val="22"/>
                <w:szCs w:val="22"/>
              </w:rPr>
              <w:t>Request for Administrative Check</w:t>
            </w:r>
          </w:p>
        </w:tc>
        <w:tc>
          <w:tcPr>
            <w:tcW w:w="39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NormalWeb"/>
              <w:rPr>
                <w:sz w:val="22"/>
                <w:szCs w:val="22"/>
              </w:rPr>
            </w:pPr>
            <w:r w:rsidRPr="00416B3D">
              <w:rPr>
                <w:sz w:val="22"/>
                <w:szCs w:val="22"/>
              </w:rPr>
              <w:t>This business use case is initiated by the competent institution of the competent Member State to request the institution of the place of residence or stay to carry out an administrative check of the person concerned in accordance with the procedures laid down by the legislation of the Member State of Stay or Residence. </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31A8" w:rsidRPr="00416B3D" w:rsidRDefault="003631A8" w:rsidP="00570A85">
            <w:pPr>
              <w:pStyle w:val="NormalWeb"/>
              <w:rPr>
                <w:sz w:val="22"/>
                <w:szCs w:val="22"/>
              </w:rPr>
            </w:pPr>
            <w:r w:rsidRPr="00416B3D">
              <w:rPr>
                <w:sz w:val="22"/>
                <w:szCs w:val="22"/>
              </w:rPr>
              <w:t>H130,</w:t>
            </w:r>
          </w:p>
          <w:p w:rsidR="003631A8" w:rsidRPr="00416B3D" w:rsidRDefault="003631A8" w:rsidP="00570A85">
            <w:pPr>
              <w:pStyle w:val="NormalWeb"/>
              <w:rPr>
                <w:sz w:val="22"/>
                <w:szCs w:val="22"/>
              </w:rPr>
            </w:pPr>
            <w:r w:rsidRPr="00416B3D">
              <w:rPr>
                <w:sz w:val="22"/>
                <w:szCs w:val="22"/>
              </w:rPr>
              <w:t>H131</w:t>
            </w:r>
          </w:p>
        </w:tc>
      </w:tr>
    </w:tbl>
    <w:p w:rsidR="004644C4" w:rsidRPr="003631A8" w:rsidRDefault="004644C4" w:rsidP="003631A8">
      <w:bookmarkStart w:id="0" w:name="_GoBack"/>
      <w:bookmarkEnd w:id="0"/>
    </w:p>
    <w:sectPr w:rsidR="004644C4" w:rsidRPr="003631A8" w:rsidSect="008670F6">
      <w:pgSz w:w="11907" w:h="1683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0F"/>
    <w:rsid w:val="000A100F"/>
    <w:rsid w:val="003631A8"/>
    <w:rsid w:val="004644C4"/>
    <w:rsid w:val="007E4CDF"/>
    <w:rsid w:val="008670F6"/>
    <w:rsid w:val="00A63E03"/>
    <w:rsid w:val="00C36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1F5EB-5FF6-4316-8390-67E71A0F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00F"/>
    <w:pPr>
      <w:spacing w:after="0" w:line="240" w:lineRule="auto"/>
    </w:pPr>
    <w:rPr>
      <w:rFonts w:ascii="Times New Roman" w:eastAsiaTheme="minorEastAsia" w:hAnsi="Times New Roman" w:cs="Times New Roman"/>
      <w:sz w:val="24"/>
      <w:szCs w:val="24"/>
    </w:rPr>
  </w:style>
  <w:style w:type="paragraph" w:styleId="Titre2">
    <w:name w:val="heading 2"/>
    <w:basedOn w:val="Normal"/>
    <w:link w:val="Titre2Car"/>
    <w:uiPriority w:val="9"/>
    <w:qFormat/>
    <w:rsid w:val="000A100F"/>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0A100F"/>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A100F"/>
    <w:rPr>
      <w:rFonts w:ascii="Times New Roman" w:eastAsiaTheme="minorEastAsia" w:hAnsi="Times New Roman" w:cs="Times New Roman"/>
      <w:b/>
      <w:bCs/>
      <w:sz w:val="36"/>
      <w:szCs w:val="36"/>
    </w:rPr>
  </w:style>
  <w:style w:type="character" w:customStyle="1" w:styleId="Titre3Car">
    <w:name w:val="Titre 3 Car"/>
    <w:basedOn w:val="Policepardfaut"/>
    <w:link w:val="Titre3"/>
    <w:uiPriority w:val="9"/>
    <w:rsid w:val="000A100F"/>
    <w:rPr>
      <w:rFonts w:ascii="Times New Roman" w:eastAsiaTheme="minorEastAsia" w:hAnsi="Times New Roman" w:cs="Times New Roman"/>
      <w:b/>
      <w:bCs/>
      <w:sz w:val="27"/>
      <w:szCs w:val="27"/>
    </w:rPr>
  </w:style>
  <w:style w:type="paragraph" w:styleId="NormalWeb">
    <w:name w:val="Normal (Web)"/>
    <w:basedOn w:val="Normal"/>
    <w:uiPriority w:val="99"/>
    <w:unhideWhenUsed/>
    <w:rsid w:val="000A10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24E883B8-FA82-4987-9BBE-7A577BAC24FF}"/>
</file>

<file path=customXml/itemProps2.xml><?xml version="1.0" encoding="utf-8"?>
<ds:datastoreItem xmlns:ds="http://schemas.openxmlformats.org/officeDocument/2006/customXml" ds:itemID="{141CB647-89BF-4445-A889-EA3E51889CEB}"/>
</file>

<file path=customXml/itemProps3.xml><?xml version="1.0" encoding="utf-8"?>
<ds:datastoreItem xmlns:ds="http://schemas.openxmlformats.org/officeDocument/2006/customXml" ds:itemID="{74604637-C371-40EA-B0CF-72A3957AEBB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Bundesverwaltung</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Horizontal-Subprocess_BUCs_summary</dc:title>
  <dc:subject/>
  <dc:creator>Rossmanith Xavier BSV</dc:creator>
  <cp:keywords/>
  <dc:description/>
  <cp:lastModifiedBy>Rossmanith Xavier BSV</cp:lastModifiedBy>
  <cp:revision>2</cp:revision>
  <dcterms:created xsi:type="dcterms:W3CDTF">2018-01-29T16:49:00Z</dcterms:created>
  <dcterms:modified xsi:type="dcterms:W3CDTF">2018-01-29T16:49:00Z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