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7DC4BE79" w:rsidR="004F0D15" w:rsidRPr="009E42BA" w:rsidRDefault="004F0D15" w:rsidP="004F0D15">
      <w:pPr>
        <w:jc w:val="center"/>
        <w:outlineLvl w:val="1"/>
        <w:rPr>
          <w:rFonts w:ascii="Calibri" w:eastAsia="Calibri" w:hAnsi="Calibri"/>
          <w:b/>
          <w:sz w:val="22"/>
          <w:szCs w:val="22"/>
        </w:rPr>
      </w:pPr>
      <w:bookmarkStart w:id="0" w:name="_Toc477468095"/>
      <w:bookmarkStart w:id="1" w:name="SEDR001"/>
      <w:r>
        <w:rPr>
          <w:rFonts w:ascii="Calibri" w:eastAsia="Calibri" w:hAnsi="Calibri"/>
          <w:b/>
          <w:sz w:val="22"/>
          <w:szCs w:val="22"/>
        </w:rPr>
        <w:t>SED R005 - Ersuchen um Einbehalt von nachzuzahlenden Beträgen</w:t>
      </w:r>
      <w:bookmarkEnd w:id="0"/>
    </w:p>
    <w:p w14:paraId="714E732F" w14:textId="77777777" w:rsidR="000E4F96" w:rsidRPr="009E42BA" w:rsidRDefault="000E4F96" w:rsidP="004F0D15">
      <w:pPr>
        <w:jc w:val="center"/>
        <w:outlineLvl w:val="1"/>
        <w:rPr>
          <w:rFonts w:ascii="Calibri" w:eastAsia="Calibri" w:hAnsi="Calibri"/>
          <w:b/>
          <w:sz w:val="22"/>
          <w:szCs w:val="22"/>
        </w:rPr>
      </w:pPr>
    </w:p>
    <w:bookmarkEnd w:id="1"/>
    <w:p w14:paraId="451DD5F7" w14:textId="2E8A6C04" w:rsidR="000E4F96" w:rsidRPr="009E42BA" w:rsidRDefault="004F0D15" w:rsidP="00AA533E">
      <w:pPr>
        <w:spacing w:after="120" w:line="276" w:lineRule="auto"/>
        <w:jc w:val="both"/>
        <w:rPr>
          <w:rFonts w:ascii="Calibri" w:eastAsia="Calibri" w:hAnsi="Calibri"/>
          <w:sz w:val="22"/>
          <w:szCs w:val="22"/>
        </w:rPr>
      </w:pPr>
      <w:proofErr w:type="gramStart"/>
      <w:r>
        <w:rPr>
          <w:rFonts w:ascii="Calibri" w:eastAsia="Calibri" w:hAnsi="Calibri"/>
          <w:sz w:val="22"/>
          <w:szCs w:val="22"/>
        </w:rPr>
        <w:t>Dieses</w:t>
      </w:r>
      <w:proofErr w:type="gramEnd"/>
      <w:r>
        <w:rPr>
          <w:rFonts w:ascii="Calibri" w:eastAsia="Calibri" w:hAnsi="Calibri"/>
          <w:sz w:val="22"/>
          <w:szCs w:val="22"/>
        </w:rPr>
        <w:t xml:space="preserve"> SED eröffnet den Geschäftsvorgang R_BUC_2 - Ausgleich von Überzahlungen mit nachzuzahlenden Beträgen. Es ist das Ersuchen um Ausgleich von nachzuzahlenden Rentenbeträgen und hat eine zweifache Funktion. Es kann als </w:t>
      </w:r>
      <w:r>
        <w:rPr>
          <w:rFonts w:ascii="Calibri" w:eastAsia="Calibri" w:hAnsi="Calibri"/>
          <w:b/>
          <w:bCs/>
          <w:sz w:val="22"/>
          <w:szCs w:val="22"/>
        </w:rPr>
        <w:t xml:space="preserve">vorläufiges </w:t>
      </w:r>
      <w:r>
        <w:rPr>
          <w:rFonts w:ascii="Calibri" w:eastAsia="Calibri" w:hAnsi="Calibri"/>
          <w:sz w:val="22"/>
          <w:szCs w:val="22"/>
        </w:rPr>
        <w:t xml:space="preserve">oder </w:t>
      </w:r>
      <w:r>
        <w:rPr>
          <w:rFonts w:ascii="Calibri" w:eastAsia="Calibri" w:hAnsi="Calibri"/>
          <w:b/>
          <w:bCs/>
          <w:sz w:val="22"/>
          <w:szCs w:val="22"/>
        </w:rPr>
        <w:t xml:space="preserve">endgültiges </w:t>
      </w:r>
      <w:r>
        <w:rPr>
          <w:rFonts w:ascii="Calibri" w:eastAsia="Calibri" w:hAnsi="Calibri"/>
          <w:sz w:val="22"/>
          <w:szCs w:val="22"/>
        </w:rPr>
        <w:t>Ersuchen verwendet werden und wird vom Fallinhaber ausgefüllt.</w:t>
      </w:r>
    </w:p>
    <w:p w14:paraId="1AEA1EA8" w14:textId="376CE159" w:rsidR="004F0D15" w:rsidRPr="009E42BA" w:rsidRDefault="004F0D15" w:rsidP="00AA533E">
      <w:pPr>
        <w:numPr>
          <w:ilvl w:val="0"/>
          <w:numId w:val="2"/>
        </w:numPr>
        <w:spacing w:after="120" w:line="276" w:lineRule="auto"/>
        <w:jc w:val="both"/>
        <w:rPr>
          <w:rFonts w:ascii="Calibri" w:eastAsia="Calibri" w:hAnsi="Calibri" w:cs="Calibri"/>
          <w:sz w:val="22"/>
          <w:szCs w:val="22"/>
        </w:rPr>
      </w:pPr>
      <w:r>
        <w:rPr>
          <w:rFonts w:ascii="Calibri" w:eastAsia="Calibri" w:hAnsi="Calibri" w:cs="Calibri"/>
          <w:b/>
          <w:bCs/>
          <w:sz w:val="22"/>
          <w:szCs w:val="22"/>
        </w:rPr>
        <w:t>Vorläufiges Ersuchen</w:t>
      </w:r>
      <w:r>
        <w:rPr>
          <w:rFonts w:ascii="Calibri" w:eastAsia="Calibri" w:hAnsi="Calibri" w:cs="Calibri"/>
          <w:sz w:val="22"/>
          <w:szCs w:val="22"/>
        </w:rPr>
        <w:t>: Es sollte immer dann verwendet werden, wenn der absendende Träger nachzuzahlende Beträge von einer beantragten, aber noch nicht gezahlten Rente</w:t>
      </w:r>
      <w:r w:rsidR="007B34C7">
        <w:rPr>
          <w:rFonts w:ascii="Calibri" w:eastAsia="Calibri" w:hAnsi="Calibri" w:cs="Calibri"/>
          <w:sz w:val="22"/>
          <w:szCs w:val="22"/>
        </w:rPr>
        <w:t>n</w:t>
      </w:r>
      <w:r>
        <w:rPr>
          <w:rFonts w:ascii="Calibri" w:eastAsia="Calibri" w:hAnsi="Calibri" w:cs="Calibri"/>
          <w:sz w:val="22"/>
          <w:szCs w:val="22"/>
        </w:rPr>
        <w:t xml:space="preserve">leistung in einem anderen Mitgliedstaat blockieren möchte und wenn der Träger bei Übersenden des Ersuchens keine bestätigten  Einzelheiten zum überzahlten Betrag hat. In diesen Fällen müssen nicht alle Angaben vom absendenden Träger zur Verfügung gestellt werden, da ein endgültiges Ersuchen folgen wird. </w:t>
      </w:r>
    </w:p>
    <w:p w14:paraId="22A6C78F" w14:textId="4BEBF067" w:rsidR="004F0D15" w:rsidRPr="009E42BA" w:rsidRDefault="004F0D15" w:rsidP="00AA533E">
      <w:pPr>
        <w:numPr>
          <w:ilvl w:val="0"/>
          <w:numId w:val="2"/>
        </w:numPr>
        <w:spacing w:after="120" w:line="276" w:lineRule="auto"/>
        <w:jc w:val="both"/>
        <w:rPr>
          <w:rFonts w:ascii="Calibri" w:eastAsia="Calibri" w:hAnsi="Calibri" w:cs="Calibri"/>
          <w:sz w:val="22"/>
          <w:szCs w:val="22"/>
        </w:rPr>
      </w:pPr>
      <w:r>
        <w:rPr>
          <w:rFonts w:ascii="Calibri" w:eastAsia="Calibri" w:hAnsi="Calibri" w:cs="Calibri"/>
          <w:b/>
          <w:bCs/>
          <w:sz w:val="22"/>
          <w:szCs w:val="22"/>
        </w:rPr>
        <w:t>Endgültiges Ersuchen:</w:t>
      </w:r>
      <w:r>
        <w:rPr>
          <w:rFonts w:ascii="Calibri" w:eastAsia="Calibri" w:hAnsi="Calibri" w:cs="Calibri"/>
          <w:sz w:val="22"/>
          <w:szCs w:val="22"/>
        </w:rPr>
        <w:t xml:space="preserve"> Es soll verwendet werden, wenn Sie tatsächlich von der Gegenpartei den Einbehalt von Überzahlungen und die Überweisung der entsprechenden Beträge an Sie anfordern. Wenn Sie es nach einem vorläufigen Ersuchen verwenden, stellen Sie sicher, dass Ihr endgültiges Ersuchen innerhalb von 2 Monaten nach Erhalt des R006 übersandt wird. Wenn nicht, muss der ersuchte Träger die nachzuzahlenden Beträge an den Kunden zahlen, und Sie müssen R_BUC_07 - Beitreibungsersuchen verwenden, um die Forderung beizutreiben.</w:t>
      </w:r>
    </w:p>
    <w:p w14:paraId="582C2D6A" w14:textId="3A1DFCE2" w:rsidR="004F0D15" w:rsidRPr="009E42BA" w:rsidRDefault="004F0D15" w:rsidP="00AA533E">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In jedem Fall müssen Sie Informationen zur Person, zur Art des Ersuchens und zur Art der Rentenleistung erteilen, die überzahlt wurde. Bitte </w:t>
      </w:r>
      <w:r w:rsidR="007B34C7">
        <w:rPr>
          <w:rFonts w:ascii="Calibri" w:eastAsia="Calibri" w:hAnsi="Calibri" w:cs="Calibri"/>
          <w:sz w:val="22"/>
          <w:szCs w:val="22"/>
        </w:rPr>
        <w:t>beachten</w:t>
      </w:r>
      <w:r>
        <w:rPr>
          <w:rFonts w:ascii="Calibri" w:eastAsia="Calibri" w:hAnsi="Calibri" w:cs="Calibri"/>
          <w:sz w:val="22"/>
          <w:szCs w:val="22"/>
        </w:rPr>
        <w:t xml:space="preserve"> Si</w:t>
      </w:r>
      <w:r w:rsidR="007B34C7">
        <w:rPr>
          <w:rFonts w:ascii="Calibri" w:eastAsia="Calibri" w:hAnsi="Calibri" w:cs="Calibri"/>
          <w:sz w:val="22"/>
          <w:szCs w:val="22"/>
        </w:rPr>
        <w:t>e</w:t>
      </w:r>
      <w:r>
        <w:rPr>
          <w:rFonts w:ascii="Calibri" w:eastAsia="Calibri" w:hAnsi="Calibri" w:cs="Calibri"/>
          <w:sz w:val="22"/>
          <w:szCs w:val="22"/>
        </w:rPr>
        <w:t xml:space="preserve">, dass 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wiederholt werden kann, wenn die Person die doppelte Staatsangehörigkeit hat.</w:t>
      </w:r>
    </w:p>
    <w:p w14:paraId="7EAA315E" w14:textId="1DF76DB0" w:rsidR="00C84366" w:rsidRPr="009E42BA" w:rsidRDefault="00C84366" w:rsidP="00AA533E">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Der Abschnitt </w:t>
      </w:r>
      <w:r>
        <w:rPr>
          <w:rFonts w:ascii="Calibri" w:eastAsia="Calibri" w:hAnsi="Calibri" w:cs="Calibri"/>
          <w:i/>
          <w:iCs/>
          <w:sz w:val="22"/>
          <w:szCs w:val="22"/>
        </w:rPr>
        <w:t xml:space="preserve">'Person' </w:t>
      </w:r>
      <w:r>
        <w:rPr>
          <w:rFonts w:ascii="Calibri" w:eastAsia="Calibri" w:hAnsi="Calibri" w:cs="Calibri"/>
          <w:sz w:val="22"/>
          <w:szCs w:val="22"/>
        </w:rPr>
        <w:t xml:space="preserve">ist wiederholbar. So erteilen Sie in Fällen von Leistungen an Hinterbliebene bitte getrennte Angaben zum Leistungsbezieher </w:t>
      </w:r>
      <w:r>
        <w:rPr>
          <w:rFonts w:ascii="Calibri" w:eastAsia="Calibri" w:hAnsi="Calibri" w:cs="Calibri"/>
          <w:b/>
          <w:bCs/>
          <w:sz w:val="22"/>
          <w:szCs w:val="22"/>
        </w:rPr>
        <w:t xml:space="preserve">und </w:t>
      </w:r>
      <w:r>
        <w:rPr>
          <w:rFonts w:ascii="Calibri" w:eastAsia="Calibri" w:hAnsi="Calibri" w:cs="Calibri"/>
          <w:sz w:val="22"/>
          <w:szCs w:val="22"/>
        </w:rPr>
        <w:t>zur verstorbenen versicherten Person. Dies wird der Gegenpartei bei der korrekten Zuordnung des Falls helfen.</w:t>
      </w:r>
    </w:p>
    <w:p w14:paraId="31D70F0E" w14:textId="77777777" w:rsidR="004F0D15" w:rsidRPr="004F0D15" w:rsidRDefault="004F0D15" w:rsidP="00AA533E">
      <w:pPr>
        <w:spacing w:after="120"/>
        <w:jc w:val="both"/>
        <w:rPr>
          <w:rFonts w:ascii="Calibri" w:eastAsia="Calibri" w:hAnsi="Calibri" w:cs="Calibri"/>
          <w:sz w:val="22"/>
          <w:szCs w:val="22"/>
          <w:lang w:val="en-GB"/>
        </w:rPr>
      </w:pPr>
      <w:r>
        <w:rPr>
          <w:rFonts w:ascii="Calibri" w:eastAsia="Calibri" w:hAnsi="Calibri" w:cs="Calibri"/>
          <w:sz w:val="22"/>
          <w:szCs w:val="22"/>
        </w:rPr>
        <w:t>Wenn das SED als endgültiges Ersuchen verwendet wird, müssen mehr Informationen erteilt werden, damit der Empfänger den Einbehalt tatsächlich durchführen kann. Für das endgültige Ersuchen werden diese Abschnitte obligatorisch:</w:t>
      </w:r>
    </w:p>
    <w:p w14:paraId="50231126" w14:textId="0F178FE7" w:rsidR="003168EE" w:rsidRPr="009E42BA" w:rsidRDefault="004F0D15" w:rsidP="003168EE">
      <w:pPr>
        <w:numPr>
          <w:ilvl w:val="0"/>
          <w:numId w:val="2"/>
        </w:numPr>
        <w:spacing w:line="276" w:lineRule="auto"/>
        <w:jc w:val="both"/>
        <w:rPr>
          <w:rFonts w:ascii="Calibri" w:eastAsia="Calibri" w:hAnsi="Calibri" w:cs="Calibri"/>
          <w:sz w:val="22"/>
          <w:szCs w:val="22"/>
        </w:rPr>
      </w:pPr>
      <w:r>
        <w:rPr>
          <w:rFonts w:ascii="Calibri" w:eastAsia="Calibri" w:hAnsi="Calibri" w:cs="Calibri"/>
          <w:i/>
          <w:iCs/>
          <w:sz w:val="22"/>
          <w:szCs w:val="22"/>
        </w:rPr>
        <w:t>Überzahlungszeitraum</w:t>
      </w:r>
      <w:r>
        <w:rPr>
          <w:rFonts w:ascii="Calibri" w:eastAsia="Calibri" w:hAnsi="Calibri" w:cs="Calibri"/>
          <w:sz w:val="22"/>
          <w:szCs w:val="22"/>
        </w:rPr>
        <w:t xml:space="preserve">. </w:t>
      </w:r>
      <w:r w:rsidR="00443A69">
        <w:rPr>
          <w:rFonts w:ascii="Calibri" w:eastAsia="Calibri" w:hAnsi="Calibri" w:cs="Calibri"/>
          <w:sz w:val="22"/>
          <w:szCs w:val="22"/>
        </w:rPr>
        <w:t xml:space="preserve">Beachten </w:t>
      </w:r>
      <w:r>
        <w:rPr>
          <w:rFonts w:ascii="Calibri" w:eastAsia="Calibri" w:hAnsi="Calibri" w:cs="Calibri"/>
          <w:sz w:val="22"/>
          <w:szCs w:val="22"/>
        </w:rPr>
        <w:t xml:space="preserve">Sie, dass der Überzahlungszeitraum und der Zeitraum der nachzuzahlenden Beträge im R006 voneinander abweichen können, aber im Gegensatz zum R_BUC_01 ist dies nicht wichtig, da die durch innerstaatlichen Rechtsvorschriften auferlegten Einschränkungen </w:t>
      </w:r>
      <w:r w:rsidR="00443A69">
        <w:rPr>
          <w:rFonts w:ascii="Calibri" w:eastAsia="Calibri" w:hAnsi="Calibri" w:cs="Calibri"/>
          <w:sz w:val="22"/>
          <w:szCs w:val="22"/>
        </w:rPr>
        <w:t>nach</w:t>
      </w:r>
      <w:r>
        <w:rPr>
          <w:rFonts w:ascii="Calibri" w:eastAsia="Calibri" w:hAnsi="Calibri" w:cs="Calibri"/>
          <w:sz w:val="22"/>
          <w:szCs w:val="22"/>
        </w:rPr>
        <w:t xml:space="preserve"> Art. 72 </w:t>
      </w:r>
      <w:r w:rsidR="00443A69">
        <w:rPr>
          <w:rFonts w:ascii="Calibri" w:eastAsia="Calibri" w:hAnsi="Calibri" w:cs="Calibri"/>
          <w:sz w:val="22"/>
          <w:szCs w:val="22"/>
        </w:rPr>
        <w:t>Abs. 2</w:t>
      </w:r>
      <w:r>
        <w:rPr>
          <w:rFonts w:ascii="Calibri" w:eastAsia="Calibri" w:hAnsi="Calibri" w:cs="Calibri"/>
          <w:sz w:val="22"/>
          <w:szCs w:val="22"/>
        </w:rPr>
        <w:t xml:space="preserve"> der Verordnung (EG) Nr. 987/2009 nicht gelten.</w:t>
      </w:r>
    </w:p>
    <w:p w14:paraId="34B8AF34" w14:textId="71927AC8" w:rsidR="003168EE" w:rsidRPr="009E42BA" w:rsidRDefault="00BB57D9" w:rsidP="003168EE">
      <w:pPr>
        <w:numPr>
          <w:ilvl w:val="0"/>
          <w:numId w:val="2"/>
        </w:numPr>
        <w:spacing w:line="276" w:lineRule="auto"/>
        <w:jc w:val="both"/>
        <w:rPr>
          <w:rFonts w:ascii="Calibri" w:eastAsia="Calibri" w:hAnsi="Calibri" w:cs="Calibri"/>
          <w:sz w:val="22"/>
          <w:szCs w:val="22"/>
        </w:rPr>
      </w:pPr>
      <w:r>
        <w:rPr>
          <w:rFonts w:ascii="Calibri" w:eastAsia="Calibri" w:hAnsi="Calibri" w:cs="Calibri"/>
          <w:i/>
          <w:iCs/>
          <w:sz w:val="22"/>
          <w:szCs w:val="22"/>
        </w:rPr>
        <w:t>Überzahlter Gesamtbetrag</w:t>
      </w:r>
      <w:r>
        <w:rPr>
          <w:rFonts w:ascii="Calibri" w:eastAsia="Calibri" w:hAnsi="Calibri" w:cs="Calibri"/>
          <w:sz w:val="22"/>
          <w:szCs w:val="22"/>
        </w:rPr>
        <w:t xml:space="preserve">. Nur den gesamten Überzahlungs- und Nachzahlungsbetrag berücksichtigen. Sie müssen den monatlichen Betrag nicht berücksichtigen oder Monat für Monat vergleichen, da die durch die innerstaatlichen Rechtsvorschriften auferlegten Beschränkungen </w:t>
      </w:r>
      <w:r w:rsidR="00443A69">
        <w:rPr>
          <w:rFonts w:ascii="Calibri" w:eastAsia="Calibri" w:hAnsi="Calibri" w:cs="Calibri"/>
          <w:sz w:val="22"/>
          <w:szCs w:val="22"/>
        </w:rPr>
        <w:t>nach</w:t>
      </w:r>
      <w:r>
        <w:rPr>
          <w:rFonts w:ascii="Calibri" w:eastAsia="Calibri" w:hAnsi="Calibri" w:cs="Calibri"/>
          <w:sz w:val="22"/>
          <w:szCs w:val="22"/>
        </w:rPr>
        <w:t xml:space="preserve"> Art. 72 </w:t>
      </w:r>
      <w:r w:rsidR="00443A69">
        <w:rPr>
          <w:rFonts w:ascii="Calibri" w:eastAsia="Calibri" w:hAnsi="Calibri" w:cs="Calibri"/>
          <w:sz w:val="22"/>
          <w:szCs w:val="22"/>
        </w:rPr>
        <w:t>Abs. 2</w:t>
      </w:r>
      <w:r>
        <w:rPr>
          <w:rFonts w:ascii="Calibri" w:eastAsia="Calibri" w:hAnsi="Calibri" w:cs="Calibri"/>
          <w:sz w:val="22"/>
          <w:szCs w:val="22"/>
        </w:rPr>
        <w:t xml:space="preserve"> der Verordnung (EG) Nr. 987/2009 nicht gelten.</w:t>
      </w:r>
    </w:p>
    <w:p w14:paraId="6B9A60F6" w14:textId="234ECE70" w:rsidR="004F0D15" w:rsidRPr="009E42BA" w:rsidRDefault="004F0D15" w:rsidP="00A876EC">
      <w:pPr>
        <w:numPr>
          <w:ilvl w:val="0"/>
          <w:numId w:val="2"/>
        </w:numPr>
        <w:spacing w:line="276" w:lineRule="auto"/>
        <w:jc w:val="both"/>
        <w:rPr>
          <w:rFonts w:ascii="Calibri" w:eastAsia="Calibri" w:hAnsi="Calibri" w:cs="Calibri"/>
          <w:i/>
          <w:sz w:val="22"/>
          <w:szCs w:val="22"/>
        </w:rPr>
      </w:pPr>
      <w:r>
        <w:rPr>
          <w:rFonts w:ascii="Calibri" w:eastAsia="Calibri" w:hAnsi="Calibri" w:cs="Calibri"/>
          <w:i/>
          <w:iCs/>
          <w:sz w:val="22"/>
          <w:szCs w:val="22"/>
        </w:rPr>
        <w:t>Bankverbindung</w:t>
      </w:r>
      <w:r>
        <w:rPr>
          <w:rFonts w:ascii="Calibri" w:eastAsia="Calibri" w:hAnsi="Calibri" w:cs="Calibri"/>
          <w:sz w:val="22"/>
          <w:szCs w:val="22"/>
        </w:rPr>
        <w:t xml:space="preserve">. </w:t>
      </w:r>
      <w:r>
        <w:rPr>
          <w:rFonts w:ascii="Calibri" w:eastAsia="Calibri" w:hAnsi="Calibri" w:cs="Calibri"/>
          <w:i/>
          <w:sz w:val="22"/>
          <w:szCs w:val="22"/>
        </w:rPr>
        <w:t>In diesem Abschnitt sind folgende Felder obligatorisch: IBAN, Name des Kontoinhabers, Zahlungsreferenz.</w:t>
      </w:r>
    </w:p>
    <w:p w14:paraId="20614F11" w14:textId="77777777" w:rsidR="003168EE" w:rsidRPr="009E42BA" w:rsidRDefault="003168EE" w:rsidP="003168EE">
      <w:pPr>
        <w:spacing w:line="276" w:lineRule="auto"/>
        <w:jc w:val="both"/>
        <w:rPr>
          <w:rFonts w:ascii="Calibri" w:eastAsia="Calibri" w:hAnsi="Calibri" w:cs="Calibri"/>
          <w:sz w:val="22"/>
          <w:szCs w:val="22"/>
        </w:rPr>
      </w:pPr>
    </w:p>
    <w:p w14:paraId="5656F1AE" w14:textId="744BB798" w:rsidR="008A6E49" w:rsidRPr="009E42BA" w:rsidRDefault="008A6E49" w:rsidP="004F0D15">
      <w:pPr>
        <w:spacing w:after="200" w:line="276" w:lineRule="auto"/>
        <w:jc w:val="both"/>
        <w:rPr>
          <w:rFonts w:ascii="Calibri" w:eastAsia="Calibri" w:hAnsi="Calibri" w:cs="Calibri"/>
          <w:sz w:val="22"/>
          <w:szCs w:val="22"/>
        </w:rPr>
      </w:pPr>
      <w:r>
        <w:rPr>
          <w:rFonts w:ascii="Calibri" w:eastAsia="Calibri" w:hAnsi="Calibri"/>
          <w:sz w:val="22"/>
          <w:szCs w:val="22"/>
        </w:rPr>
        <w:t>Dem R005 können Anhänge beigefügt werden.</w:t>
      </w:r>
    </w:p>
    <w:p w14:paraId="5640CD4F" w14:textId="5440350E" w:rsidR="00C420DA" w:rsidRPr="009E42BA" w:rsidRDefault="004F0D15" w:rsidP="007264EE">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Um den Inhalt und die Erläuterungen des SED R005 zu sehen, bitte </w:t>
      </w:r>
      <w:hyperlink r:id="rId11" w:history="1">
        <w:r>
          <w:rPr>
            <w:rStyle w:val="Hyperlink"/>
            <w:rFonts w:ascii="Calibri" w:eastAsia="Calibri" w:hAnsi="Calibri" w:cs="Calibri"/>
            <w:sz w:val="22"/>
            <w:szCs w:val="22"/>
          </w:rPr>
          <w:t>hie</w:t>
        </w:r>
        <w:bookmarkStart w:id="2" w:name="_GoBack"/>
        <w:bookmarkEnd w:id="2"/>
        <w:r>
          <w:rPr>
            <w:rStyle w:val="Hyperlink"/>
            <w:rFonts w:ascii="Calibri" w:eastAsia="Calibri" w:hAnsi="Calibri" w:cs="Calibri"/>
            <w:sz w:val="22"/>
            <w:szCs w:val="22"/>
          </w:rPr>
          <w:t>r</w:t>
        </w:r>
      </w:hyperlink>
      <w:r>
        <w:rPr>
          <w:rFonts w:ascii="Calibri" w:eastAsia="Calibri" w:hAnsi="Calibri" w:cs="Calibri"/>
          <w:sz w:val="22"/>
          <w:szCs w:val="22"/>
        </w:rPr>
        <w:t xml:space="preserve"> klicken.</w:t>
      </w:r>
    </w:p>
    <w:sectPr w:rsidR="00C420DA" w:rsidRPr="009E42B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D8C55" w14:textId="77777777" w:rsidR="003B6D0B" w:rsidRDefault="003B6D0B" w:rsidP="00AB3C18">
      <w:r>
        <w:separator/>
      </w:r>
    </w:p>
  </w:endnote>
  <w:endnote w:type="continuationSeparator" w:id="0">
    <w:p w14:paraId="268714FC" w14:textId="77777777" w:rsidR="003B6D0B" w:rsidRDefault="003B6D0B"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852FF" w14:textId="77777777" w:rsidR="003B6D0B" w:rsidRDefault="003B6D0B" w:rsidP="00AB3C18">
      <w:r>
        <w:separator/>
      </w:r>
    </w:p>
  </w:footnote>
  <w:footnote w:type="continuationSeparator" w:id="0">
    <w:p w14:paraId="40879FCC" w14:textId="77777777" w:rsidR="003B6D0B" w:rsidRDefault="003B6D0B"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4BA00240"/>
    <w:multiLevelType w:val="hybridMultilevel"/>
    <w:tmpl w:val="DCCE596E"/>
    <w:lvl w:ilvl="0" w:tplc="3292593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rson w15:author="Rossmanith Xavier BSV">
    <w15:presenceInfo w15:providerId="None" w15:userId="Rossmanith Xavier BSV"/>
  </w15:person>
  <w15:person w15:author="Adrienne Brown">
    <w15:presenceInfo w15:providerId="None" w15:userId="Adrienn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166AD"/>
    <w:rsid w:val="00052C57"/>
    <w:rsid w:val="000B3328"/>
    <w:rsid w:val="000C62D3"/>
    <w:rsid w:val="000E4F96"/>
    <w:rsid w:val="000F1DDB"/>
    <w:rsid w:val="00105076"/>
    <w:rsid w:val="00127312"/>
    <w:rsid w:val="001342C0"/>
    <w:rsid w:val="00142F55"/>
    <w:rsid w:val="00173A29"/>
    <w:rsid w:val="00193F31"/>
    <w:rsid w:val="001A5724"/>
    <w:rsid w:val="001A7E1F"/>
    <w:rsid w:val="001B500E"/>
    <w:rsid w:val="001D06B8"/>
    <w:rsid w:val="001D6BD0"/>
    <w:rsid w:val="001E6B56"/>
    <w:rsid w:val="002029F8"/>
    <w:rsid w:val="0023233A"/>
    <w:rsid w:val="00234115"/>
    <w:rsid w:val="002473B8"/>
    <w:rsid w:val="00283767"/>
    <w:rsid w:val="002C4719"/>
    <w:rsid w:val="002F79A2"/>
    <w:rsid w:val="0030294F"/>
    <w:rsid w:val="00304B04"/>
    <w:rsid w:val="003110EC"/>
    <w:rsid w:val="003168EE"/>
    <w:rsid w:val="0032305C"/>
    <w:rsid w:val="003237EE"/>
    <w:rsid w:val="00340ADD"/>
    <w:rsid w:val="00374C66"/>
    <w:rsid w:val="00376E7B"/>
    <w:rsid w:val="003873C7"/>
    <w:rsid w:val="003B6D0B"/>
    <w:rsid w:val="003C1F83"/>
    <w:rsid w:val="003C56B9"/>
    <w:rsid w:val="003D175F"/>
    <w:rsid w:val="00417AD3"/>
    <w:rsid w:val="00443229"/>
    <w:rsid w:val="00443A69"/>
    <w:rsid w:val="00486DB5"/>
    <w:rsid w:val="004970BA"/>
    <w:rsid w:val="004A62FD"/>
    <w:rsid w:val="004B108D"/>
    <w:rsid w:val="004C3FA3"/>
    <w:rsid w:val="004C497A"/>
    <w:rsid w:val="004D3DD9"/>
    <w:rsid w:val="004F0D15"/>
    <w:rsid w:val="00511BA5"/>
    <w:rsid w:val="005300BF"/>
    <w:rsid w:val="005368A6"/>
    <w:rsid w:val="00556052"/>
    <w:rsid w:val="00574310"/>
    <w:rsid w:val="005B1C63"/>
    <w:rsid w:val="005D0250"/>
    <w:rsid w:val="00633F90"/>
    <w:rsid w:val="006728A1"/>
    <w:rsid w:val="0067458C"/>
    <w:rsid w:val="0068633B"/>
    <w:rsid w:val="00697559"/>
    <w:rsid w:val="006975C8"/>
    <w:rsid w:val="006B6BB3"/>
    <w:rsid w:val="006C2F17"/>
    <w:rsid w:val="006E463E"/>
    <w:rsid w:val="007149E7"/>
    <w:rsid w:val="00721A2B"/>
    <w:rsid w:val="00722276"/>
    <w:rsid w:val="007264EE"/>
    <w:rsid w:val="007275BD"/>
    <w:rsid w:val="007306BF"/>
    <w:rsid w:val="00747CCE"/>
    <w:rsid w:val="00765F0D"/>
    <w:rsid w:val="00775EB4"/>
    <w:rsid w:val="0078732C"/>
    <w:rsid w:val="0079797F"/>
    <w:rsid w:val="007A77C8"/>
    <w:rsid w:val="007B34C7"/>
    <w:rsid w:val="0080404C"/>
    <w:rsid w:val="00817E31"/>
    <w:rsid w:val="0089206C"/>
    <w:rsid w:val="008A6E49"/>
    <w:rsid w:val="00930DD4"/>
    <w:rsid w:val="00963CE8"/>
    <w:rsid w:val="00986486"/>
    <w:rsid w:val="00997816"/>
    <w:rsid w:val="009B5934"/>
    <w:rsid w:val="009C25E7"/>
    <w:rsid w:val="009E0CC0"/>
    <w:rsid w:val="009E279F"/>
    <w:rsid w:val="009E42BA"/>
    <w:rsid w:val="009E51FA"/>
    <w:rsid w:val="009F6D56"/>
    <w:rsid w:val="00A22C8C"/>
    <w:rsid w:val="00A27C37"/>
    <w:rsid w:val="00A73764"/>
    <w:rsid w:val="00A748C0"/>
    <w:rsid w:val="00A876EC"/>
    <w:rsid w:val="00AA0976"/>
    <w:rsid w:val="00AA533E"/>
    <w:rsid w:val="00AB3C18"/>
    <w:rsid w:val="00AB7D86"/>
    <w:rsid w:val="00AC7E4A"/>
    <w:rsid w:val="00AD1264"/>
    <w:rsid w:val="00AD7DDD"/>
    <w:rsid w:val="00AE627F"/>
    <w:rsid w:val="00B176EC"/>
    <w:rsid w:val="00B27FEC"/>
    <w:rsid w:val="00B37A07"/>
    <w:rsid w:val="00B40A09"/>
    <w:rsid w:val="00B657B4"/>
    <w:rsid w:val="00B6735A"/>
    <w:rsid w:val="00BB57D9"/>
    <w:rsid w:val="00BC1FB8"/>
    <w:rsid w:val="00BC7075"/>
    <w:rsid w:val="00BD2713"/>
    <w:rsid w:val="00BF0737"/>
    <w:rsid w:val="00BF2B2F"/>
    <w:rsid w:val="00C420DA"/>
    <w:rsid w:val="00C56E22"/>
    <w:rsid w:val="00C84366"/>
    <w:rsid w:val="00CB2F07"/>
    <w:rsid w:val="00CD5FBD"/>
    <w:rsid w:val="00CF41C9"/>
    <w:rsid w:val="00CF78E6"/>
    <w:rsid w:val="00D1469B"/>
    <w:rsid w:val="00D1603D"/>
    <w:rsid w:val="00D31138"/>
    <w:rsid w:val="00D46108"/>
    <w:rsid w:val="00D466CE"/>
    <w:rsid w:val="00D46796"/>
    <w:rsid w:val="00D51634"/>
    <w:rsid w:val="00D53DD0"/>
    <w:rsid w:val="00DA0D06"/>
    <w:rsid w:val="00DB42AB"/>
    <w:rsid w:val="00DE3622"/>
    <w:rsid w:val="00DF6399"/>
    <w:rsid w:val="00DF696A"/>
    <w:rsid w:val="00E22C24"/>
    <w:rsid w:val="00E51416"/>
    <w:rsid w:val="00E522E1"/>
    <w:rsid w:val="00E56507"/>
    <w:rsid w:val="00E56E4B"/>
    <w:rsid w:val="00E57012"/>
    <w:rsid w:val="00E61B8D"/>
    <w:rsid w:val="00ED3974"/>
    <w:rsid w:val="00ED48D8"/>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character" w:styleId="Kommentarzeichen">
    <w:name w:val="annotation reference"/>
    <w:basedOn w:val="Absatz-Standardschriftart"/>
    <w:uiPriority w:val="99"/>
    <w:semiHidden/>
    <w:unhideWhenUsed/>
    <w:rsid w:val="000166AD"/>
    <w:rPr>
      <w:sz w:val="16"/>
      <w:szCs w:val="16"/>
    </w:rPr>
  </w:style>
  <w:style w:type="paragraph" w:styleId="Kommentartext">
    <w:name w:val="annotation text"/>
    <w:basedOn w:val="Standard"/>
    <w:link w:val="KommentartextZchn"/>
    <w:uiPriority w:val="99"/>
    <w:semiHidden/>
    <w:unhideWhenUsed/>
    <w:rsid w:val="000166AD"/>
  </w:style>
  <w:style w:type="character" w:customStyle="1" w:styleId="KommentartextZchn">
    <w:name w:val="Kommentartext Zchn"/>
    <w:basedOn w:val="Absatz-Standardschriftart"/>
    <w:link w:val="Kommentartext"/>
    <w:uiPriority w:val="99"/>
    <w:semiHidden/>
    <w:rsid w:val="000166AD"/>
  </w:style>
  <w:style w:type="paragraph" w:styleId="Kommentarthema">
    <w:name w:val="annotation subject"/>
    <w:basedOn w:val="Kommentartext"/>
    <w:next w:val="Kommentartext"/>
    <w:link w:val="KommentarthemaZchn"/>
    <w:uiPriority w:val="99"/>
    <w:semiHidden/>
    <w:unhideWhenUsed/>
    <w:rsid w:val="000166AD"/>
    <w:rPr>
      <w:b/>
      <w:bCs/>
    </w:rPr>
  </w:style>
  <w:style w:type="character" w:customStyle="1" w:styleId="KommentarthemaZchn">
    <w:name w:val="Kommentarthema Zchn"/>
    <w:basedOn w:val="KommentartextZchn"/>
    <w:link w:val="Kommentarthema"/>
    <w:uiPriority w:val="99"/>
    <w:semiHidden/>
    <w:rsid w:val="000166AD"/>
    <w:rPr>
      <w:b/>
      <w:bCs/>
    </w:rPr>
  </w:style>
  <w:style w:type="character" w:styleId="BesuchterHyperlink">
    <w:name w:val="FollowedHyperlink"/>
    <w:basedOn w:val="Absatz-Standardschriftart"/>
    <w:uiPriority w:val="99"/>
    <w:semiHidden/>
    <w:unhideWhenUsed/>
    <w:rsid w:val="009E42B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character" w:styleId="Kommentarzeichen">
    <w:name w:val="annotation reference"/>
    <w:basedOn w:val="Absatz-Standardschriftart"/>
    <w:uiPriority w:val="99"/>
    <w:semiHidden/>
    <w:unhideWhenUsed/>
    <w:rsid w:val="000166AD"/>
    <w:rPr>
      <w:sz w:val="16"/>
      <w:szCs w:val="16"/>
    </w:rPr>
  </w:style>
  <w:style w:type="paragraph" w:styleId="Kommentartext">
    <w:name w:val="annotation text"/>
    <w:basedOn w:val="Standard"/>
    <w:link w:val="KommentartextZchn"/>
    <w:uiPriority w:val="99"/>
    <w:semiHidden/>
    <w:unhideWhenUsed/>
    <w:rsid w:val="000166AD"/>
  </w:style>
  <w:style w:type="character" w:customStyle="1" w:styleId="KommentartextZchn">
    <w:name w:val="Kommentartext Zchn"/>
    <w:basedOn w:val="Absatz-Standardschriftart"/>
    <w:link w:val="Kommentartext"/>
    <w:uiPriority w:val="99"/>
    <w:semiHidden/>
    <w:rsid w:val="000166AD"/>
  </w:style>
  <w:style w:type="paragraph" w:styleId="Kommentarthema">
    <w:name w:val="annotation subject"/>
    <w:basedOn w:val="Kommentartext"/>
    <w:next w:val="Kommentartext"/>
    <w:link w:val="KommentarthemaZchn"/>
    <w:uiPriority w:val="99"/>
    <w:semiHidden/>
    <w:unhideWhenUsed/>
    <w:rsid w:val="000166AD"/>
    <w:rPr>
      <w:b/>
      <w:bCs/>
    </w:rPr>
  </w:style>
  <w:style w:type="character" w:customStyle="1" w:styleId="KommentarthemaZchn">
    <w:name w:val="Kommentarthema Zchn"/>
    <w:basedOn w:val="KommentartextZchn"/>
    <w:link w:val="Kommentarthema"/>
    <w:uiPriority w:val="99"/>
    <w:semiHidden/>
    <w:rsid w:val="000166AD"/>
    <w:rPr>
      <w:b/>
      <w:bCs/>
    </w:rPr>
  </w:style>
  <w:style w:type="character" w:styleId="BesuchterHyperlink">
    <w:name w:val="FollowedHyperlink"/>
    <w:basedOn w:val="Absatz-Standardschriftart"/>
    <w:uiPriority w:val="99"/>
    <w:semiHidden/>
    <w:unhideWhenUsed/>
    <w:rsid w:val="009E42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05-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3BFAE7DB-9125-4138-A345-6AB93F416D63}"/>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3216C6A.dotm</Template>
  <TotalTime>0</TotalTime>
  <Pages>1</Pages>
  <Words>425</Words>
  <Characters>2680</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Init AG</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R005</dc:title>
  <dc:creator>Leps, Olof (init)</dc:creator>
  <cp:lastModifiedBy>Gutzler, Christof</cp:lastModifiedBy>
  <cp:revision>6</cp:revision>
  <cp:lastPrinted>2018-04-23T13:07:00Z</cp:lastPrinted>
  <dcterms:created xsi:type="dcterms:W3CDTF">2018-04-23T13:06:00Z</dcterms:created>
  <dcterms:modified xsi:type="dcterms:W3CDTF">2018-12-07T11:00:00Z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