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DB9D6" w14:textId="7B1DA432" w:rsidR="00AF6E26" w:rsidRPr="001809C3" w:rsidRDefault="00AF6E26" w:rsidP="00AF6E26">
      <w:pPr>
        <w:ind w:left="360"/>
        <w:jc w:val="center"/>
        <w:outlineLvl w:val="1"/>
        <w:rPr>
          <w:rFonts w:ascii="Calibri" w:eastAsia="Calibri" w:hAnsi="Calibri"/>
          <w:b/>
          <w:sz w:val="22"/>
          <w:szCs w:val="22"/>
          <w:lang w:val="en-GB"/>
        </w:rPr>
      </w:pPr>
      <w:bookmarkStart w:id="0" w:name="_Toc477494118"/>
      <w:r w:rsidRPr="00AF6E26">
        <w:rPr>
          <w:rFonts w:ascii="Calibri" w:eastAsia="Calibri" w:hAnsi="Calibri"/>
          <w:b/>
          <w:sz w:val="22"/>
          <w:szCs w:val="22"/>
          <w:lang w:val="en-GB"/>
        </w:rPr>
        <w:t>SED S113 - Reply to contestation of global claim – fixed amounts (RPY_COC_CLA_IMO)</w:t>
      </w:r>
    </w:p>
    <w:bookmarkEnd w:id="0"/>
    <w:p w14:paraId="0D074E10" w14:textId="77777777" w:rsidR="00F01C06" w:rsidRPr="00CA56DB" w:rsidRDefault="00F01C06" w:rsidP="00F01C06">
      <w:pPr>
        <w:spacing w:after="200" w:line="360" w:lineRule="atLeast"/>
        <w:jc w:val="both"/>
        <w:rPr>
          <w:rFonts w:ascii="Calibri" w:eastAsia="Calibri" w:hAnsi="Calibri"/>
          <w:sz w:val="22"/>
          <w:szCs w:val="22"/>
          <w:lang w:val="en-GB"/>
        </w:rPr>
      </w:pPr>
    </w:p>
    <w:p w14:paraId="7DC7851F" w14:textId="68552066" w:rsidR="00F01C06" w:rsidRPr="00CA56DB" w:rsidRDefault="00F01C06" w:rsidP="00F01C06">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The liaison body of the creditor state replies to the SED S112 by this SED S113. There are only the two reply options given in data field “Reply code”.</w:t>
      </w:r>
    </w:p>
    <w:p w14:paraId="6A4AF410" w14:textId="77777777" w:rsidR="00F01C06" w:rsidRPr="00CA56DB" w:rsidRDefault="00F01C06" w:rsidP="00F01C06">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If the creditor accepts the contestation, SED S110 doesn’t need to be submitted again.</w:t>
      </w:r>
    </w:p>
    <w:p w14:paraId="5882091D" w14:textId="77777777" w:rsidR="00F01C06" w:rsidRPr="00CA56DB" w:rsidRDefault="00F01C06" w:rsidP="00F01C06">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If the debtor state has submitted an adjusted lump sum amount by sending SED S110 and the creditor state has confirmed by sending S113, then the receiving date of the S110 is no longer relevant for fixing the deadlines. In this case the receiving date of the SED S113 becomes decisive.</w:t>
      </w:r>
    </w:p>
    <w:p w14:paraId="7EE7EA20" w14:textId="442F0A92"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AF6E26">
        <w:rPr>
          <w:rFonts w:ascii="Calibri" w:eastAsia="Calibri" w:hAnsi="Calibri"/>
          <w:sz w:val="22"/>
          <w:szCs w:val="22"/>
          <w:lang w:val="en-GB"/>
        </w:rPr>
        <w:t>S113</w:t>
      </w:r>
      <w:r>
        <w:rPr>
          <w:rFonts w:ascii="Calibri" w:eastAsia="Calibri" w:hAnsi="Calibri"/>
          <w:sz w:val="22"/>
          <w:szCs w:val="22"/>
          <w:lang w:val="en-GB"/>
        </w:rPr>
        <w:t>.</w:t>
      </w:r>
    </w:p>
    <w:p w14:paraId="7E43326F" w14:textId="776C4510"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AF6E26">
        <w:rPr>
          <w:rFonts w:ascii="Calibri" w:eastAsia="Calibri" w:hAnsi="Calibri" w:cs="Arial"/>
          <w:sz w:val="22"/>
          <w:szCs w:val="22"/>
          <w:lang w:val="en-US"/>
        </w:rPr>
        <w:t>S113</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bookmarkStart w:id="1" w:name="_GoBack"/>
      <w:bookmarkEnd w:id="1"/>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7E7E8F"/>
    <w:rsid w:val="0080404C"/>
    <w:rsid w:val="00817893"/>
    <w:rsid w:val="00817E31"/>
    <w:rsid w:val="008801DB"/>
    <w:rsid w:val="0089206C"/>
    <w:rsid w:val="00893A10"/>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AF6E26"/>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D3974"/>
    <w:rsid w:val="00ED6C57"/>
    <w:rsid w:val="00F01C06"/>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FD8A9-5C7B-470C-A804-26889528D10A}"/>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115</Words>
  <Characters>662</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26</cp:revision>
  <dcterms:created xsi:type="dcterms:W3CDTF">2017-03-21T12:53:00Z</dcterms:created>
  <dcterms:modified xsi:type="dcterms:W3CDTF">2017-06-12T15:40:00Z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