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B0" w:rsidRPr="00505B95" w:rsidRDefault="00431CB0" w:rsidP="00431CB0">
      <w:pPr>
        <w:jc w:val="center"/>
        <w:outlineLvl w:val="1"/>
        <w:rPr>
          <w:b/>
          <w:lang w:val="de-AT"/>
        </w:rPr>
      </w:pPr>
      <w:bookmarkStart w:id="0" w:name="_Toc477494120"/>
      <w:bookmarkStart w:id="1" w:name="SEDP6000"/>
      <w:r w:rsidRPr="00505B95">
        <w:rPr>
          <w:b/>
          <w:lang w:val="de-AT"/>
        </w:rPr>
        <w:t xml:space="preserve">SED P6000 – </w:t>
      </w:r>
      <w:bookmarkEnd w:id="0"/>
      <w:r w:rsidR="00505B95" w:rsidRPr="00505B95">
        <w:rPr>
          <w:b/>
          <w:lang w:val="de-AT"/>
        </w:rPr>
        <w:t>Rentenentscheidung</w:t>
      </w:r>
      <w:r w:rsidR="00061D74" w:rsidRPr="00505B95">
        <w:rPr>
          <w:b/>
          <w:lang w:val="de-AT"/>
        </w:rPr>
        <w:t xml:space="preserve"> </w:t>
      </w:r>
      <w:r w:rsidR="00061D74" w:rsidRPr="00505B95">
        <w:rPr>
          <w:rStyle w:val="c41"/>
          <w:rFonts w:ascii="Calibri" w:hAnsi="Calibri"/>
          <w:color w:val="auto"/>
          <w:sz w:val="22"/>
          <w:szCs w:val="22"/>
          <w:lang w:val="de-AT"/>
        </w:rPr>
        <w:t>(</w:t>
      </w:r>
      <w:r w:rsidR="00505B95" w:rsidRPr="00505B95">
        <w:rPr>
          <w:rStyle w:val="c41"/>
          <w:rFonts w:ascii="Calibri" w:hAnsi="Calibri"/>
          <w:color w:val="auto"/>
          <w:sz w:val="22"/>
          <w:szCs w:val="22"/>
          <w:lang w:val="de-AT"/>
        </w:rPr>
        <w:t>V</w:t>
      </w:r>
      <w:r w:rsidR="00061D74" w:rsidRPr="00505B95">
        <w:rPr>
          <w:rStyle w:val="c41"/>
          <w:rFonts w:ascii="Calibri" w:hAnsi="Calibri"/>
          <w:color w:val="auto"/>
          <w:sz w:val="22"/>
          <w:szCs w:val="22"/>
          <w:lang w:val="de-AT"/>
        </w:rPr>
        <w:t xml:space="preserve">ersion 4 </w:t>
      </w:r>
      <w:proofErr w:type="spellStart"/>
      <w:r w:rsidR="00061D74" w:rsidRPr="00505B95">
        <w:rPr>
          <w:rStyle w:val="c41"/>
          <w:rFonts w:ascii="Calibri" w:hAnsi="Calibri"/>
          <w:color w:val="auto"/>
          <w:sz w:val="22"/>
          <w:szCs w:val="22"/>
          <w:lang w:val="de-AT"/>
        </w:rPr>
        <w:t>P-SEDs</w:t>
      </w:r>
      <w:proofErr w:type="spellEnd"/>
      <w:r w:rsidR="00061D74" w:rsidRPr="00505B95">
        <w:rPr>
          <w:rStyle w:val="c41"/>
          <w:rFonts w:ascii="Calibri" w:hAnsi="Calibri"/>
          <w:color w:val="auto"/>
          <w:sz w:val="22"/>
          <w:szCs w:val="22"/>
          <w:lang w:val="de-AT"/>
        </w:rPr>
        <w:t>)</w:t>
      </w:r>
    </w:p>
    <w:bookmarkEnd w:id="1"/>
    <w:p w:rsidR="00624A07" w:rsidRPr="00624A07" w:rsidRDefault="00505B95" w:rsidP="00431CB0">
      <w:pPr>
        <w:pStyle w:val="Listenabsatz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proofErr w:type="spellStart"/>
      <w:r>
        <w:rPr>
          <w:rFonts w:ascii="Calibri" w:hAnsi="Calibri"/>
          <w:b/>
          <w:sz w:val="22"/>
          <w:szCs w:val="22"/>
        </w:rPr>
        <w:t>Einleitende</w:t>
      </w:r>
      <w:proofErr w:type="spellEnd"/>
      <w:r>
        <w:rPr>
          <w:rFonts w:ascii="Calibri" w:hAnsi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sz w:val="22"/>
          <w:szCs w:val="22"/>
        </w:rPr>
        <w:t>Bemerkungen</w:t>
      </w:r>
      <w:proofErr w:type="spellEnd"/>
    </w:p>
    <w:p w:rsidR="00D3381D" w:rsidRPr="00505B95" w:rsidRDefault="00505B95" w:rsidP="00E45FFD">
      <w:pPr>
        <w:spacing w:after="0" w:line="240" w:lineRule="auto"/>
        <w:jc w:val="both"/>
        <w:rPr>
          <w:color w:val="000000" w:themeColor="text1"/>
          <w:lang w:val="de-AT"/>
        </w:rPr>
      </w:pPr>
      <w:r w:rsidRPr="00505B95">
        <w:rPr>
          <w:color w:val="000000" w:themeColor="text1"/>
          <w:lang w:val="de-AT"/>
        </w:rPr>
        <w:t xml:space="preserve">Dieses SED ist zu verwenden in Anwendung von </w:t>
      </w:r>
      <w:r w:rsidR="001C546B" w:rsidRPr="00505B95">
        <w:rPr>
          <w:color w:val="000000" w:themeColor="text1"/>
          <w:lang w:val="de-AT"/>
        </w:rPr>
        <w:t>Art. 47</w:t>
      </w:r>
      <w:r w:rsidRPr="00505B95">
        <w:rPr>
          <w:color w:val="000000" w:themeColor="text1"/>
          <w:lang w:val="de-AT"/>
        </w:rPr>
        <w:t xml:space="preserve"> Abs. 6, Art. </w:t>
      </w:r>
      <w:r w:rsidR="001C546B" w:rsidRPr="00505B95">
        <w:rPr>
          <w:color w:val="000000" w:themeColor="text1"/>
          <w:lang w:val="de-AT"/>
        </w:rPr>
        <w:t>48</w:t>
      </w:r>
      <w:r w:rsidRPr="00505B95">
        <w:rPr>
          <w:color w:val="000000" w:themeColor="text1"/>
          <w:lang w:val="de-AT"/>
        </w:rPr>
        <w:t xml:space="preserve"> Abs. 1</w:t>
      </w:r>
      <w:r w:rsidR="001C546B" w:rsidRPr="00505B95">
        <w:rPr>
          <w:color w:val="000000" w:themeColor="text1"/>
          <w:lang w:val="de-AT"/>
        </w:rPr>
        <w:t xml:space="preserve">, </w:t>
      </w:r>
      <w:r w:rsidRPr="00505B95">
        <w:rPr>
          <w:color w:val="000000" w:themeColor="text1"/>
          <w:lang w:val="de-AT"/>
        </w:rPr>
        <w:t>Art. 50 Abs. 1 und Art. 51 Abs. 2 der VO</w:t>
      </w:r>
      <w:r w:rsidR="001C546B" w:rsidRPr="00505B95">
        <w:rPr>
          <w:color w:val="000000" w:themeColor="text1"/>
          <w:lang w:val="de-AT"/>
        </w:rPr>
        <w:t xml:space="preserve"> 987/2009.</w:t>
      </w:r>
      <w:r w:rsidR="00D3381D" w:rsidRPr="00505B95">
        <w:rPr>
          <w:color w:val="000000" w:themeColor="text1"/>
          <w:lang w:val="de-AT"/>
        </w:rPr>
        <w:t xml:space="preserve"> </w:t>
      </w:r>
    </w:p>
    <w:p w:rsidR="00D3381D" w:rsidRPr="00505B95" w:rsidRDefault="00505B95" w:rsidP="00E45FFD">
      <w:pPr>
        <w:spacing w:after="0" w:line="240" w:lineRule="auto"/>
        <w:jc w:val="both"/>
        <w:rPr>
          <w:rFonts w:cs="Arial"/>
          <w:lang w:val="de-AT"/>
        </w:rPr>
      </w:pPr>
      <w:r w:rsidRPr="00505B95">
        <w:rPr>
          <w:rFonts w:cs="Arial"/>
          <w:lang w:val="de-AT"/>
        </w:rPr>
        <w:t xml:space="preserve">Das </w:t>
      </w:r>
      <w:r w:rsidRPr="00505B95">
        <w:rPr>
          <w:rFonts w:cs="Arial"/>
          <w:color w:val="222222"/>
          <w:lang w:val="de-DE"/>
        </w:rPr>
        <w:t xml:space="preserve">SED P6000 </w:t>
      </w:r>
      <w:r>
        <w:rPr>
          <w:rFonts w:cs="Arial"/>
          <w:color w:val="222222"/>
          <w:lang w:val="de-DE"/>
        </w:rPr>
        <w:t xml:space="preserve">wird </w:t>
      </w:r>
      <w:r w:rsidRPr="00505B95">
        <w:rPr>
          <w:rFonts w:cs="Arial"/>
          <w:color w:val="222222"/>
          <w:lang w:val="de-DE"/>
        </w:rPr>
        <w:t xml:space="preserve">dazu verwendet, </w:t>
      </w:r>
      <w:r>
        <w:rPr>
          <w:rFonts w:cs="Arial"/>
          <w:color w:val="222222"/>
          <w:lang w:val="de-DE"/>
        </w:rPr>
        <w:t xml:space="preserve">um </w:t>
      </w:r>
      <w:r w:rsidRPr="00505B95">
        <w:rPr>
          <w:rFonts w:cs="Arial"/>
          <w:color w:val="222222"/>
          <w:lang w:val="de-DE"/>
        </w:rPr>
        <w:t xml:space="preserve">andere </w:t>
      </w:r>
      <w:r>
        <w:rPr>
          <w:rFonts w:cs="Arial"/>
          <w:color w:val="222222"/>
          <w:lang w:val="de-DE"/>
        </w:rPr>
        <w:t>beteiligte Träger</w:t>
      </w:r>
      <w:r w:rsidRPr="00505B95">
        <w:rPr>
          <w:rFonts w:cs="Arial"/>
          <w:color w:val="222222"/>
          <w:lang w:val="de-DE"/>
        </w:rPr>
        <w:t xml:space="preserve"> über eine Entscheidung über den Anspruch auf folgende Rentenarten zu informieren</w:t>
      </w:r>
    </w:p>
    <w:p w:rsidR="00431CB0" w:rsidRDefault="00505B95" w:rsidP="00431CB0">
      <w:pPr>
        <w:numPr>
          <w:ilvl w:val="0"/>
          <w:numId w:val="1"/>
        </w:numPr>
        <w:spacing w:after="0"/>
        <w:ind w:left="1423" w:hanging="357"/>
        <w:rPr>
          <w:rFonts w:cs="Arial"/>
          <w:lang w:val="en-US"/>
        </w:rPr>
      </w:pPr>
      <w:r>
        <w:rPr>
          <w:rFonts w:cs="Arial"/>
          <w:lang w:val="de-AT"/>
        </w:rPr>
        <w:t>Altersrente</w:t>
      </w:r>
    </w:p>
    <w:p w:rsidR="00431CB0" w:rsidRPr="002E7B2B" w:rsidRDefault="00505B95" w:rsidP="00431CB0">
      <w:pPr>
        <w:numPr>
          <w:ilvl w:val="0"/>
          <w:numId w:val="1"/>
        </w:numPr>
        <w:spacing w:after="0"/>
        <w:ind w:left="1423" w:hanging="357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Invaliditätsrente</w:t>
      </w:r>
      <w:proofErr w:type="spellEnd"/>
    </w:p>
    <w:p w:rsidR="00431CB0" w:rsidRDefault="00505B95" w:rsidP="00431CB0">
      <w:pPr>
        <w:numPr>
          <w:ilvl w:val="0"/>
          <w:numId w:val="1"/>
        </w:numPr>
        <w:spacing w:after="0"/>
        <w:ind w:left="1423" w:hanging="357"/>
        <w:rPr>
          <w:rFonts w:cs="Arial"/>
          <w:lang w:val="en-US"/>
        </w:rPr>
      </w:pPr>
      <w:proofErr w:type="spellStart"/>
      <w:r>
        <w:rPr>
          <w:rFonts w:cs="Arial"/>
          <w:lang w:val="en-US"/>
        </w:rPr>
        <w:t>Hinterbliebenenrente</w:t>
      </w:r>
      <w:proofErr w:type="spellEnd"/>
    </w:p>
    <w:p w:rsidR="001D6C4F" w:rsidRDefault="001D6C4F" w:rsidP="00431CB0">
      <w:pPr>
        <w:spacing w:after="0"/>
        <w:ind w:left="720"/>
        <w:rPr>
          <w:rFonts w:cs="Arial"/>
        </w:rPr>
      </w:pPr>
    </w:p>
    <w:p w:rsidR="002846A4" w:rsidRPr="00505B95" w:rsidRDefault="00505B95" w:rsidP="00505B95">
      <w:pPr>
        <w:jc w:val="both"/>
        <w:rPr>
          <w:lang w:val="de-AT"/>
        </w:rPr>
      </w:pPr>
      <w:r w:rsidRPr="00505B95">
        <w:rPr>
          <w:lang w:val="de-AT"/>
        </w:rPr>
        <w:t xml:space="preserve">Das SED P6000 </w:t>
      </w:r>
      <w:r>
        <w:rPr>
          <w:lang w:val="de-AT"/>
        </w:rPr>
        <w:t>wird auch verwendet</w:t>
      </w:r>
      <w:r w:rsidRPr="00505B95">
        <w:rPr>
          <w:lang w:val="de-AT"/>
        </w:rPr>
        <w:t xml:space="preserve"> </w:t>
      </w:r>
      <w:r>
        <w:rPr>
          <w:lang w:val="de-AT"/>
        </w:rPr>
        <w:t>als</w:t>
      </w:r>
      <w:r w:rsidRPr="00505B95">
        <w:rPr>
          <w:lang w:val="de-AT"/>
        </w:rPr>
        <w:t xml:space="preserve"> Basis für das Mobile Dokument</w:t>
      </w:r>
      <w:r w:rsidR="002846A4" w:rsidRPr="00505B95">
        <w:rPr>
          <w:lang w:val="de-AT"/>
        </w:rPr>
        <w:t xml:space="preserve"> </w:t>
      </w:r>
      <w:hyperlink r:id="rId5" w:history="1">
        <w:r w:rsidR="002846A4" w:rsidRPr="00505B95">
          <w:rPr>
            <w:rStyle w:val="Hyperlink"/>
            <w:lang w:val="de-AT"/>
          </w:rPr>
          <w:t>P1 (</w:t>
        </w:r>
        <w:r>
          <w:rPr>
            <w:rStyle w:val="Hyperlink"/>
            <w:lang w:val="de-AT"/>
          </w:rPr>
          <w:t>Zusammenfassung v</w:t>
        </w:r>
        <w:r w:rsidRPr="00505B95">
          <w:rPr>
            <w:rStyle w:val="Hyperlink"/>
            <w:rFonts w:asciiTheme="minorHAnsi" w:hAnsiTheme="minorHAnsi"/>
            <w:lang w:val="de-AT"/>
          </w:rPr>
          <w:t>on Rentenentscheidunge</w:t>
        </w:r>
        <w:r>
          <w:rPr>
            <w:rStyle w:val="Hyperlink"/>
            <w:rFonts w:asciiTheme="minorHAnsi" w:hAnsiTheme="minorHAnsi"/>
            <w:lang w:val="de-AT"/>
          </w:rPr>
          <w:t>n</w:t>
        </w:r>
        <w:r w:rsidR="002846A4" w:rsidRPr="00505B95">
          <w:rPr>
            <w:rStyle w:val="Hyperlink"/>
            <w:lang w:val="de-AT"/>
          </w:rPr>
          <w:t>)</w:t>
        </w:r>
      </w:hyperlink>
      <w:r w:rsidR="002846A4" w:rsidRPr="00505B95">
        <w:rPr>
          <w:lang w:val="de-AT"/>
        </w:rPr>
        <w:t xml:space="preserve"> </w:t>
      </w:r>
      <w:r>
        <w:rPr>
          <w:lang w:val="de-AT"/>
        </w:rPr>
        <w:t xml:space="preserve">und </w:t>
      </w:r>
      <w:r w:rsidR="002B0824" w:rsidRPr="00505B95">
        <w:rPr>
          <w:lang w:val="de-AT"/>
        </w:rPr>
        <w:t xml:space="preserve">SED </w:t>
      </w:r>
      <w:hyperlink r:id="rId6" w:history="1">
        <w:r w:rsidR="002846A4" w:rsidRPr="00505B95">
          <w:rPr>
            <w:rStyle w:val="Hyperlink"/>
            <w:lang w:val="de-AT"/>
          </w:rPr>
          <w:t>P7000 (</w:t>
        </w:r>
        <w:r w:rsidRPr="00505B95">
          <w:rPr>
            <w:rStyle w:val="Hyperlink"/>
            <w:lang w:val="de-AT"/>
          </w:rPr>
          <w:t>Zusammenfassung der Rentenentscheidungen</w:t>
        </w:r>
        <w:r w:rsidR="002846A4" w:rsidRPr="00505B95">
          <w:rPr>
            <w:rStyle w:val="Hyperlink"/>
            <w:lang w:val="de-AT"/>
          </w:rPr>
          <w:t>)</w:t>
        </w:r>
      </w:hyperlink>
      <w:r w:rsidR="002846A4" w:rsidRPr="00505B95">
        <w:rPr>
          <w:lang w:val="de-AT"/>
        </w:rPr>
        <w:t>.</w:t>
      </w:r>
    </w:p>
    <w:p w:rsidR="001C546B" w:rsidRPr="00624A07" w:rsidRDefault="00505B95" w:rsidP="00624A07">
      <w:pPr>
        <w:pStyle w:val="Listenabsatz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427333">
        <w:rPr>
          <w:rStyle w:val="c41"/>
          <w:rFonts w:ascii="Calibri" w:hAnsi="Calibri"/>
          <w:b/>
          <w:sz w:val="22"/>
          <w:szCs w:val="22"/>
          <w:lang w:val="de-AT"/>
        </w:rPr>
        <w:t>Entsprechende Geschäftsvorgänge (</w:t>
      </w:r>
      <w:proofErr w:type="spellStart"/>
      <w:r w:rsidRPr="00427333">
        <w:rPr>
          <w:rStyle w:val="c41"/>
          <w:rFonts w:ascii="Calibri" w:hAnsi="Calibri"/>
          <w:b/>
          <w:sz w:val="22"/>
          <w:szCs w:val="22"/>
          <w:lang w:val="de-AT"/>
        </w:rPr>
        <w:t>BUCs</w:t>
      </w:r>
      <w:proofErr w:type="spellEnd"/>
      <w:r>
        <w:rPr>
          <w:rFonts w:ascii="Calibri" w:hAnsi="Calibri"/>
          <w:b/>
          <w:sz w:val="22"/>
          <w:szCs w:val="22"/>
        </w:rPr>
        <w:t>)</w:t>
      </w:r>
    </w:p>
    <w:p w:rsidR="00505B95" w:rsidRDefault="00505B95" w:rsidP="00505B95">
      <w:pPr>
        <w:pStyle w:val="c1"/>
        <w:numPr>
          <w:ilvl w:val="0"/>
          <w:numId w:val="6"/>
        </w:numPr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P_BUC</w:t>
      </w:r>
      <w:r w:rsidR="004F3D9C">
        <w:rPr>
          <w:rStyle w:val="c41"/>
          <w:rFonts w:ascii="Calibri" w:hAnsi="Calibri"/>
          <w:sz w:val="22"/>
          <w:szCs w:val="22"/>
          <w:lang w:val="de-AT"/>
        </w:rPr>
        <w:t>_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 xml:space="preserve">01 </w:t>
      </w:r>
      <w:r>
        <w:rPr>
          <w:rStyle w:val="c41"/>
          <w:rFonts w:ascii="Calibri" w:hAnsi="Calibri"/>
          <w:sz w:val="22"/>
          <w:szCs w:val="22"/>
          <w:lang w:val="de-AT"/>
        </w:rPr>
        <w:t>–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 xml:space="preserve"> A</w:t>
      </w:r>
      <w:r>
        <w:rPr>
          <w:rStyle w:val="c41"/>
          <w:rFonts w:ascii="Calibri" w:hAnsi="Calibri"/>
          <w:sz w:val="22"/>
          <w:szCs w:val="22"/>
          <w:lang w:val="de-AT"/>
        </w:rPr>
        <w:t>ntrag auf Altersrente</w:t>
      </w:r>
    </w:p>
    <w:p w:rsidR="00505B95" w:rsidRDefault="00505B95" w:rsidP="00505B95">
      <w:pPr>
        <w:pStyle w:val="c1"/>
        <w:numPr>
          <w:ilvl w:val="0"/>
          <w:numId w:val="6"/>
        </w:numPr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P_BUC</w:t>
      </w:r>
      <w:r w:rsidR="004F3D9C">
        <w:rPr>
          <w:rStyle w:val="c41"/>
          <w:rFonts w:ascii="Calibri" w:hAnsi="Calibri"/>
          <w:sz w:val="22"/>
          <w:szCs w:val="22"/>
          <w:lang w:val="de-AT"/>
        </w:rPr>
        <w:t>_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>02 – Antrag auf Hinterbliebenenrente</w:t>
      </w:r>
    </w:p>
    <w:p w:rsidR="00505B95" w:rsidRPr="00427333" w:rsidRDefault="00505B95" w:rsidP="00505B95">
      <w:pPr>
        <w:pStyle w:val="c1"/>
        <w:numPr>
          <w:ilvl w:val="0"/>
          <w:numId w:val="6"/>
        </w:numPr>
        <w:jc w:val="both"/>
        <w:rPr>
          <w:rStyle w:val="c41"/>
          <w:rFonts w:ascii="Calibri" w:hAnsi="Calibri"/>
          <w:sz w:val="22"/>
          <w:szCs w:val="22"/>
          <w:lang w:val="de-AT"/>
        </w:rPr>
      </w:pPr>
      <w:r w:rsidRPr="00427333">
        <w:rPr>
          <w:rStyle w:val="c41"/>
          <w:rFonts w:ascii="Calibri" w:hAnsi="Calibri"/>
          <w:sz w:val="22"/>
          <w:szCs w:val="22"/>
          <w:lang w:val="de-AT"/>
        </w:rPr>
        <w:t>P_BUC</w:t>
      </w:r>
      <w:r w:rsidR="004F3D9C">
        <w:rPr>
          <w:rStyle w:val="c41"/>
          <w:rFonts w:ascii="Calibri" w:hAnsi="Calibri"/>
          <w:sz w:val="22"/>
          <w:szCs w:val="22"/>
          <w:lang w:val="de-AT"/>
        </w:rPr>
        <w:t>_</w:t>
      </w:r>
      <w:r w:rsidRPr="00427333">
        <w:rPr>
          <w:rStyle w:val="c41"/>
          <w:rFonts w:ascii="Calibri" w:hAnsi="Calibri"/>
          <w:sz w:val="22"/>
          <w:szCs w:val="22"/>
          <w:lang w:val="de-AT"/>
        </w:rPr>
        <w:t xml:space="preserve">03 – Antrag auf </w:t>
      </w:r>
      <w:proofErr w:type="spellStart"/>
      <w:r w:rsidRPr="00427333">
        <w:rPr>
          <w:rStyle w:val="c41"/>
          <w:rFonts w:ascii="Calibri" w:hAnsi="Calibri"/>
          <w:sz w:val="22"/>
          <w:szCs w:val="22"/>
          <w:lang w:val="de-AT"/>
        </w:rPr>
        <w:t>Invaliditätsrent</w:t>
      </w:r>
      <w:proofErr w:type="spellEnd"/>
    </w:p>
    <w:p w:rsidR="004A6530" w:rsidRPr="00505B95" w:rsidRDefault="004A6530" w:rsidP="004A6530">
      <w:pPr>
        <w:numPr>
          <w:ilvl w:val="0"/>
          <w:numId w:val="4"/>
        </w:numPr>
        <w:spacing w:after="0"/>
        <w:jc w:val="both"/>
        <w:rPr>
          <w:lang w:val="de-AT"/>
        </w:rPr>
      </w:pPr>
      <w:r w:rsidRPr="00505B95">
        <w:rPr>
          <w:lang w:val="de-AT"/>
        </w:rPr>
        <w:t xml:space="preserve">P_BUC_05 – </w:t>
      </w:r>
      <w:proofErr w:type="spellStart"/>
      <w:r w:rsidRPr="00505B95">
        <w:rPr>
          <w:lang w:val="de-AT"/>
        </w:rPr>
        <w:t>Ad</w:t>
      </w:r>
      <w:r w:rsidR="00505B95" w:rsidRPr="00505B95">
        <w:rPr>
          <w:lang w:val="de-AT"/>
        </w:rPr>
        <w:t>-Hoc-Anfrage</w:t>
      </w:r>
      <w:proofErr w:type="spellEnd"/>
      <w:r w:rsidR="00505B95" w:rsidRPr="00505B95">
        <w:rPr>
          <w:lang w:val="de-AT"/>
        </w:rPr>
        <w:t xml:space="preserve"> für Renteninformationen</w:t>
      </w:r>
    </w:p>
    <w:p w:rsidR="004A6530" w:rsidRPr="00505B95" w:rsidRDefault="004A6530" w:rsidP="004A6530">
      <w:pPr>
        <w:numPr>
          <w:ilvl w:val="0"/>
          <w:numId w:val="4"/>
        </w:numPr>
        <w:spacing w:after="0"/>
        <w:jc w:val="both"/>
        <w:rPr>
          <w:lang w:val="de-AT"/>
        </w:rPr>
      </w:pPr>
      <w:r w:rsidRPr="00505B95">
        <w:rPr>
          <w:lang w:val="de-AT"/>
        </w:rPr>
        <w:t xml:space="preserve">P_BUC_06 – </w:t>
      </w:r>
      <w:r w:rsidR="00505B95" w:rsidRPr="00505B95">
        <w:rPr>
          <w:lang w:val="de-AT"/>
        </w:rPr>
        <w:t>Mitteilung von Renteninformationen</w:t>
      </w:r>
    </w:p>
    <w:p w:rsidR="00624A07" w:rsidRPr="00BA7496" w:rsidRDefault="00FB48E6" w:rsidP="00624A07">
      <w:pPr>
        <w:numPr>
          <w:ilvl w:val="0"/>
          <w:numId w:val="4"/>
        </w:numPr>
        <w:spacing w:after="0" w:line="23" w:lineRule="atLeast"/>
        <w:ind w:left="714" w:hanging="357"/>
        <w:jc w:val="both"/>
        <w:rPr>
          <w:rFonts w:cs="Arial"/>
          <w:color w:val="FF0000"/>
        </w:rPr>
      </w:pPr>
      <w:r>
        <w:rPr>
          <w:lang w:val="en-US"/>
        </w:rPr>
        <w:t xml:space="preserve">P_BUC_10 - </w:t>
      </w:r>
      <w:proofErr w:type="spellStart"/>
      <w:r w:rsidR="00505B95">
        <w:rPr>
          <w:lang w:val="en-US"/>
        </w:rPr>
        <w:t>Übergangsfälle</w:t>
      </w:r>
      <w:proofErr w:type="spellEnd"/>
      <w:r w:rsidR="00DF0145">
        <w:rPr>
          <w:lang w:val="en-US"/>
        </w:rPr>
        <w:t xml:space="preserve"> </w:t>
      </w:r>
      <w:bookmarkStart w:id="2" w:name="_GoBack"/>
      <w:bookmarkEnd w:id="2"/>
    </w:p>
    <w:p w:rsidR="00AF50F5" w:rsidRDefault="00AF50F5" w:rsidP="00AF50F5">
      <w:pPr>
        <w:spacing w:after="0"/>
        <w:rPr>
          <w:b/>
        </w:rPr>
      </w:pPr>
    </w:p>
    <w:p w:rsidR="001C546B" w:rsidRPr="00505B95" w:rsidRDefault="00505B95" w:rsidP="00624A07">
      <w:pPr>
        <w:pStyle w:val="Listenabsatz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proofErr w:type="spellStart"/>
      <w:r w:rsidRPr="00505B95">
        <w:rPr>
          <w:rFonts w:ascii="Calibri" w:hAnsi="Calibri"/>
          <w:b/>
          <w:sz w:val="22"/>
          <w:szCs w:val="22"/>
        </w:rPr>
        <w:t>Inhalt</w:t>
      </w:r>
      <w:proofErr w:type="spellEnd"/>
      <w:r w:rsidRPr="00505B95">
        <w:rPr>
          <w:rFonts w:ascii="Calibri" w:hAnsi="Calibri"/>
          <w:b/>
          <w:sz w:val="22"/>
          <w:szCs w:val="22"/>
        </w:rPr>
        <w:t xml:space="preserve"> und </w:t>
      </w:r>
      <w:proofErr w:type="spellStart"/>
      <w:r w:rsidRPr="00505B95">
        <w:rPr>
          <w:rFonts w:ascii="Calibri" w:hAnsi="Calibri"/>
          <w:b/>
          <w:sz w:val="22"/>
          <w:szCs w:val="22"/>
        </w:rPr>
        <w:t>Handhabung</w:t>
      </w:r>
      <w:proofErr w:type="spellEnd"/>
    </w:p>
    <w:p w:rsidR="004F3D9C" w:rsidRDefault="00505B95" w:rsidP="004F3D9C">
      <w:pPr>
        <w:spacing w:after="0" w:line="240" w:lineRule="auto"/>
        <w:jc w:val="both"/>
        <w:rPr>
          <w:rFonts w:cs="Arial"/>
          <w:lang w:val="de-DE"/>
        </w:rPr>
      </w:pPr>
      <w:r w:rsidRPr="009517ED">
        <w:rPr>
          <w:rFonts w:cs="Arial"/>
          <w:lang w:val="de-DE"/>
        </w:rPr>
        <w:t xml:space="preserve">Die Informationen zum Abschnitt „Versicherte Person“ müssen immer ausgefüllt werden. Im Falle einer Entscheidung über Alters- oder Invaliditätsrenten ist </w:t>
      </w:r>
      <w:r w:rsidR="004F3D9C">
        <w:rPr>
          <w:rFonts w:cs="Arial"/>
          <w:lang w:val="de-DE"/>
        </w:rPr>
        <w:t xml:space="preserve">die </w:t>
      </w:r>
      <w:r w:rsidRPr="009517ED">
        <w:rPr>
          <w:rFonts w:cs="Arial"/>
          <w:lang w:val="de-DE"/>
        </w:rPr>
        <w:t xml:space="preserve">„Versicherte Person“ die gleiche wie die des Antragstellers. Dies bedeutet, dass </w:t>
      </w:r>
      <w:r w:rsidR="00D46A87" w:rsidRPr="009517ED">
        <w:rPr>
          <w:rFonts w:cs="Arial"/>
          <w:lang w:val="de-DE"/>
        </w:rPr>
        <w:t>der</w:t>
      </w:r>
      <w:r w:rsidRPr="009517ED">
        <w:rPr>
          <w:rFonts w:cs="Arial"/>
          <w:lang w:val="de-DE"/>
        </w:rPr>
        <w:t xml:space="preserve"> Abschnitt „</w:t>
      </w:r>
      <w:r w:rsidR="00D46A87" w:rsidRPr="009517ED">
        <w:rPr>
          <w:rFonts w:cs="Helvetica"/>
          <w:bCs/>
          <w:lang w:val="de-AT"/>
        </w:rPr>
        <w:t>Antragstellende Person (Hinterbliebenenrente)</w:t>
      </w:r>
      <w:r w:rsidR="004F3D9C">
        <w:rPr>
          <w:rFonts w:cs="Helvetica"/>
          <w:bCs/>
          <w:lang w:val="de-AT"/>
        </w:rPr>
        <w:t>“</w:t>
      </w:r>
      <w:r w:rsidR="00D46A87" w:rsidRPr="009517ED">
        <w:rPr>
          <w:rFonts w:ascii="Helvetica" w:hAnsi="Helvetica" w:cs="Helvetica"/>
          <w:b/>
          <w:bCs/>
          <w:sz w:val="12"/>
          <w:szCs w:val="12"/>
          <w:lang w:val="de-AT"/>
        </w:rPr>
        <w:t xml:space="preserve"> </w:t>
      </w:r>
      <w:r w:rsidR="00D46A87" w:rsidRPr="009517ED">
        <w:rPr>
          <w:rFonts w:cs="Helvetica"/>
          <w:bCs/>
          <w:lang w:val="de-AT"/>
        </w:rPr>
        <w:t>nicht ausgefüllt werden muss.</w:t>
      </w:r>
      <w:r w:rsidRPr="009517ED">
        <w:rPr>
          <w:rFonts w:cs="Arial"/>
          <w:lang w:val="de-DE"/>
        </w:rPr>
        <w:t xml:space="preserve"> Im Falle einer Entscheidung über die Hinterbliebenen</w:t>
      </w:r>
      <w:r w:rsidR="00D46A87" w:rsidRPr="009517ED">
        <w:rPr>
          <w:rFonts w:cs="Arial"/>
          <w:lang w:val="de-DE"/>
        </w:rPr>
        <w:t xml:space="preserve">rente </w:t>
      </w:r>
      <w:r w:rsidRPr="009517ED">
        <w:rPr>
          <w:rFonts w:cs="Arial"/>
          <w:lang w:val="de-DE"/>
        </w:rPr>
        <w:t>müssen die Angaben zu</w:t>
      </w:r>
      <w:r w:rsidR="00D46A87" w:rsidRPr="009517ED">
        <w:rPr>
          <w:rFonts w:cs="Arial"/>
          <w:lang w:val="de-DE"/>
        </w:rPr>
        <w:t>r antragstellenden Person</w:t>
      </w:r>
      <w:r w:rsidRPr="009517ED">
        <w:rPr>
          <w:rFonts w:cs="Arial"/>
          <w:lang w:val="de-DE"/>
        </w:rPr>
        <w:t xml:space="preserve"> jedoch immer ausgefüllt werden.</w:t>
      </w:r>
    </w:p>
    <w:p w:rsidR="00505B95" w:rsidRPr="009517ED" w:rsidRDefault="00505B95" w:rsidP="004F3D9C">
      <w:pPr>
        <w:spacing w:after="0" w:line="240" w:lineRule="auto"/>
        <w:jc w:val="both"/>
        <w:rPr>
          <w:lang w:val="de-AT"/>
        </w:rPr>
      </w:pPr>
      <w:r w:rsidRPr="009517ED">
        <w:rPr>
          <w:rFonts w:cs="Arial"/>
          <w:lang w:val="de-DE"/>
        </w:rPr>
        <w:t>Alle relevanten Informationen zur aktuellen Rentenentscheidung sind in 3 Abschnitte</w:t>
      </w:r>
      <w:r w:rsidR="00D46A87" w:rsidRPr="009517ED">
        <w:rPr>
          <w:rFonts w:cs="Arial"/>
          <w:lang w:val="de-DE"/>
        </w:rPr>
        <w:t>n enthalten:</w:t>
      </w:r>
    </w:p>
    <w:p w:rsidR="002846A4" w:rsidRPr="00D46A87" w:rsidRDefault="00D46A87" w:rsidP="00E45FFD">
      <w:pPr>
        <w:pStyle w:val="Listenabsatz"/>
        <w:numPr>
          <w:ilvl w:val="0"/>
          <w:numId w:val="2"/>
        </w:numPr>
        <w:jc w:val="both"/>
        <w:rPr>
          <w:rFonts w:ascii="Calibri" w:hAnsi="Calibri"/>
          <w:sz w:val="22"/>
          <w:szCs w:val="22"/>
          <w:lang w:val="de-AT"/>
        </w:rPr>
      </w:pP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 xml:space="preserve">Abschnitt 4 - Entscheidungen; enthält Informationen über die Art der Rente, </w:t>
      </w:r>
      <w:r w:rsidR="004F3D9C">
        <w:rPr>
          <w:rFonts w:ascii="Calibri" w:hAnsi="Calibri" w:cs="Arial"/>
          <w:color w:val="222222"/>
          <w:sz w:val="22"/>
          <w:szCs w:val="22"/>
          <w:lang w:val="de-DE"/>
        </w:rPr>
        <w:t xml:space="preserve">die Art der Entscheidung, </w:t>
      </w: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>die Art</w:t>
      </w:r>
      <w:r>
        <w:rPr>
          <w:rFonts w:ascii="Calibri" w:hAnsi="Calibri" w:cs="Arial"/>
          <w:color w:val="222222"/>
          <w:sz w:val="22"/>
          <w:szCs w:val="22"/>
          <w:lang w:val="de-DE"/>
        </w:rPr>
        <w:t>ikel</w:t>
      </w: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 xml:space="preserve">,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welche</w:t>
      </w: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 xml:space="preserve"> die Rechtsgrundlage für die Gewährung der Rente bilden, Einzelheiten zu</w:t>
      </w:r>
      <w:r w:rsidR="00B50AA5">
        <w:rPr>
          <w:rFonts w:ascii="Calibri" w:hAnsi="Calibri" w:cs="Arial"/>
          <w:color w:val="222222"/>
          <w:sz w:val="22"/>
          <w:szCs w:val="22"/>
          <w:lang w:val="de-DE"/>
        </w:rPr>
        <w:t>r</w:t>
      </w: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 xml:space="preserve"> Höhe und Zahlung sowie die Gründe für die Ablehnung eines Antrags. </w:t>
      </w:r>
      <w:r w:rsidR="00B50AA5">
        <w:rPr>
          <w:rFonts w:ascii="Calibri" w:hAnsi="Calibri" w:cs="Arial"/>
          <w:color w:val="222222"/>
          <w:sz w:val="22"/>
          <w:szCs w:val="22"/>
          <w:lang w:val="de-DE"/>
        </w:rPr>
        <w:t>Einzelheiten der Zahlung</w:t>
      </w: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 xml:space="preserve"> können so oft </w:t>
      </w:r>
      <w:r>
        <w:rPr>
          <w:rFonts w:ascii="Calibri" w:hAnsi="Calibri" w:cs="Arial"/>
          <w:color w:val="222222"/>
          <w:sz w:val="22"/>
          <w:szCs w:val="22"/>
          <w:lang w:val="de-DE"/>
        </w:rPr>
        <w:t xml:space="preserve">als notwendig </w:t>
      </w: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 xml:space="preserve">wiederholt werden, </w:t>
      </w:r>
      <w:r w:rsidR="00B50AA5">
        <w:rPr>
          <w:rFonts w:ascii="Calibri" w:hAnsi="Calibri" w:cs="Arial"/>
          <w:color w:val="222222"/>
          <w:sz w:val="22"/>
          <w:szCs w:val="22"/>
          <w:lang w:val="de-DE"/>
        </w:rPr>
        <w:t xml:space="preserve">falls </w:t>
      </w: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 xml:space="preserve">sich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der Betrag der</w:t>
      </w:r>
      <w:r w:rsidRPr="00D46A87">
        <w:rPr>
          <w:rFonts w:ascii="Calibri" w:hAnsi="Calibri" w:cs="Arial"/>
          <w:color w:val="222222"/>
          <w:sz w:val="22"/>
          <w:szCs w:val="22"/>
          <w:lang w:val="de-DE"/>
        </w:rPr>
        <w:t xml:space="preserve"> Rente geändert hat</w:t>
      </w:r>
      <w:r w:rsidR="002846A4" w:rsidRPr="00D46A87">
        <w:rPr>
          <w:rFonts w:ascii="Calibri" w:hAnsi="Calibri"/>
          <w:sz w:val="22"/>
          <w:szCs w:val="22"/>
          <w:lang w:val="de-AT"/>
        </w:rPr>
        <w:t>.</w:t>
      </w:r>
    </w:p>
    <w:p w:rsidR="002846A4" w:rsidRPr="00B50AA5" w:rsidRDefault="00B50AA5" w:rsidP="00E45FFD">
      <w:pPr>
        <w:pStyle w:val="Listenabsatz"/>
        <w:numPr>
          <w:ilvl w:val="0"/>
          <w:numId w:val="2"/>
        </w:numPr>
        <w:ind w:left="714" w:hanging="357"/>
        <w:jc w:val="both"/>
        <w:rPr>
          <w:rFonts w:ascii="Calibri" w:hAnsi="Calibri"/>
          <w:sz w:val="22"/>
          <w:lang w:val="de-AT"/>
        </w:rPr>
      </w:pPr>
      <w:r w:rsidRPr="00B50AA5">
        <w:rPr>
          <w:rFonts w:ascii="Calibri" w:hAnsi="Calibri" w:cs="Arial"/>
          <w:color w:val="222222"/>
          <w:sz w:val="22"/>
          <w:szCs w:val="22"/>
          <w:lang w:val="de-DE"/>
        </w:rPr>
        <w:t xml:space="preserve">Abschnitt 5 -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Kürzungen</w:t>
      </w:r>
      <w:r w:rsidRPr="00B50AA5">
        <w:rPr>
          <w:rFonts w:ascii="Calibri" w:hAnsi="Calibri" w:cs="Arial"/>
          <w:color w:val="222222"/>
          <w:sz w:val="22"/>
          <w:szCs w:val="22"/>
          <w:lang w:val="de-DE"/>
        </w:rPr>
        <w:t xml:space="preserve">; Enthält Informationen zu möglichen Kürzungen, deren Rechtsgrundlage sowie Informationen zu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Doppelleistungsbestimmungen</w:t>
      </w:r>
      <w:r w:rsidR="00E319E1" w:rsidRPr="00B50AA5">
        <w:rPr>
          <w:rFonts w:ascii="Calibri" w:hAnsi="Calibri"/>
          <w:sz w:val="22"/>
          <w:lang w:val="de-AT"/>
        </w:rPr>
        <w:t>.</w:t>
      </w:r>
    </w:p>
    <w:p w:rsidR="002846A4" w:rsidRPr="00B50AA5" w:rsidRDefault="00B50AA5" w:rsidP="00E45FFD">
      <w:pPr>
        <w:pStyle w:val="Listenabsatz"/>
        <w:numPr>
          <w:ilvl w:val="0"/>
          <w:numId w:val="2"/>
        </w:numPr>
        <w:rPr>
          <w:rFonts w:ascii="Calibri" w:hAnsi="Calibri"/>
          <w:sz w:val="22"/>
          <w:szCs w:val="22"/>
          <w:lang w:val="de-AT"/>
        </w:rPr>
      </w:pPr>
      <w:r w:rsidRPr="00B50AA5">
        <w:rPr>
          <w:rFonts w:ascii="Calibri" w:hAnsi="Calibri" w:cs="Arial"/>
          <w:color w:val="222222"/>
          <w:sz w:val="22"/>
          <w:szCs w:val="22"/>
          <w:lang w:val="de-DE"/>
        </w:rPr>
        <w:t xml:space="preserve">Abschnitt 6 - Zusätzliche </w:t>
      </w:r>
      <w:r>
        <w:rPr>
          <w:rFonts w:ascii="Calibri" w:hAnsi="Calibri" w:cs="Arial"/>
          <w:color w:val="222222"/>
          <w:sz w:val="22"/>
          <w:szCs w:val="22"/>
          <w:lang w:val="de-DE"/>
        </w:rPr>
        <w:t>Angaben</w:t>
      </w:r>
      <w:r w:rsidRPr="00B50AA5">
        <w:rPr>
          <w:rFonts w:ascii="Calibri" w:hAnsi="Calibri" w:cs="Arial"/>
          <w:color w:val="222222"/>
          <w:sz w:val="22"/>
          <w:szCs w:val="22"/>
          <w:lang w:val="de-DE"/>
        </w:rPr>
        <w:t xml:space="preserve"> zur Entscheidung; enthält Informationen zu verschiedenen anderen relevanten Themen, z.</w:t>
      </w:r>
      <w:r>
        <w:rPr>
          <w:rFonts w:ascii="Calibri" w:hAnsi="Calibri" w:cs="Arial"/>
          <w:color w:val="222222"/>
          <w:sz w:val="22"/>
          <w:szCs w:val="22"/>
          <w:lang w:val="de-DE"/>
        </w:rPr>
        <w:t>B.</w:t>
      </w:r>
      <w:r w:rsidRPr="00B50AA5">
        <w:rPr>
          <w:rFonts w:ascii="Calibri" w:hAnsi="Calibri" w:cs="Arial"/>
          <w:color w:val="222222"/>
          <w:sz w:val="22"/>
          <w:szCs w:val="22"/>
          <w:lang w:val="de-DE"/>
        </w:rPr>
        <w:t xml:space="preserve"> das Recht auf Überprüfung</w:t>
      </w:r>
      <w:r w:rsidR="002846A4" w:rsidRPr="00B50AA5">
        <w:rPr>
          <w:rFonts w:ascii="Calibri" w:hAnsi="Calibri"/>
          <w:sz w:val="22"/>
          <w:szCs w:val="22"/>
          <w:lang w:val="de-AT"/>
        </w:rPr>
        <w:t>.</w:t>
      </w:r>
    </w:p>
    <w:p w:rsidR="00DE464B" w:rsidRPr="00DE464B" w:rsidRDefault="00DE464B" w:rsidP="00E45FFD">
      <w:pPr>
        <w:spacing w:before="120" w:after="240" w:line="240" w:lineRule="auto"/>
        <w:jc w:val="both"/>
        <w:rPr>
          <w:lang w:val="de-AT"/>
        </w:rPr>
      </w:pPr>
      <w:r w:rsidRPr="00DE464B">
        <w:rPr>
          <w:rFonts w:cs="Arial"/>
          <w:color w:val="222222"/>
          <w:lang w:val="de-DE"/>
        </w:rPr>
        <w:t xml:space="preserve">Das </w:t>
      </w:r>
      <w:r>
        <w:rPr>
          <w:rFonts w:cs="Arial"/>
          <w:color w:val="222222"/>
          <w:lang w:val="de-DE"/>
        </w:rPr>
        <w:t>Mobile</w:t>
      </w:r>
      <w:r w:rsidRPr="00DE464B">
        <w:rPr>
          <w:rFonts w:cs="Arial"/>
          <w:color w:val="222222"/>
          <w:lang w:val="de-DE"/>
        </w:rPr>
        <w:t xml:space="preserve"> Dokument P1 wird vo</w:t>
      </w:r>
      <w:r>
        <w:rPr>
          <w:rFonts w:cs="Arial"/>
          <w:color w:val="222222"/>
          <w:lang w:val="de-DE"/>
        </w:rPr>
        <w:t>m</w:t>
      </w:r>
      <w:r w:rsidRPr="00DE464B">
        <w:rPr>
          <w:rFonts w:cs="Arial"/>
          <w:color w:val="222222"/>
          <w:lang w:val="de-DE"/>
        </w:rPr>
        <w:t xml:space="preserve"> Kontakt</w:t>
      </w:r>
      <w:r>
        <w:rPr>
          <w:rFonts w:cs="Arial"/>
          <w:color w:val="222222"/>
          <w:lang w:val="de-DE"/>
        </w:rPr>
        <w:t>träger</w:t>
      </w:r>
      <w:r w:rsidRPr="00DE464B">
        <w:rPr>
          <w:rFonts w:cs="Arial"/>
          <w:color w:val="222222"/>
          <w:lang w:val="de-DE"/>
        </w:rPr>
        <w:t xml:space="preserve"> auf der Grundlage </w:t>
      </w:r>
      <w:r>
        <w:rPr>
          <w:rFonts w:cs="Arial"/>
          <w:color w:val="222222"/>
          <w:lang w:val="de-DE"/>
        </w:rPr>
        <w:t>der endgültigen Informationen im</w:t>
      </w:r>
      <w:r w:rsidRPr="00DE464B">
        <w:rPr>
          <w:rFonts w:cs="Arial"/>
          <w:color w:val="222222"/>
          <w:lang w:val="de-DE"/>
        </w:rPr>
        <w:t xml:space="preserve"> SED P6000 ausgefüllt. Daher ist es wichtig zu beachten, dass </w:t>
      </w:r>
      <w:r>
        <w:rPr>
          <w:rFonts w:cs="Arial"/>
          <w:color w:val="222222"/>
          <w:lang w:val="de-DE"/>
        </w:rPr>
        <w:t>die</w:t>
      </w:r>
      <w:r w:rsidR="009517ED">
        <w:rPr>
          <w:rFonts w:cs="Arial"/>
          <w:color w:val="222222"/>
          <w:lang w:val="de-DE"/>
        </w:rPr>
        <w:t xml:space="preserve"> </w:t>
      </w:r>
      <w:r>
        <w:rPr>
          <w:rFonts w:cs="Arial"/>
          <w:color w:val="222222"/>
          <w:lang w:val="de-DE"/>
        </w:rPr>
        <w:t>Träger</w:t>
      </w:r>
      <w:r w:rsidRPr="00DE464B">
        <w:rPr>
          <w:rFonts w:cs="Arial"/>
          <w:color w:val="222222"/>
          <w:lang w:val="de-DE"/>
        </w:rPr>
        <w:t xml:space="preserve"> alle Informationen, die sich </w:t>
      </w:r>
      <w:r>
        <w:rPr>
          <w:rFonts w:cs="Arial"/>
          <w:color w:val="222222"/>
          <w:lang w:val="de-DE"/>
        </w:rPr>
        <w:t xml:space="preserve">in </w:t>
      </w:r>
      <w:r w:rsidR="009517ED">
        <w:rPr>
          <w:rFonts w:cs="Arial"/>
          <w:color w:val="222222"/>
          <w:lang w:val="de-DE"/>
        </w:rPr>
        <w:t>i</w:t>
      </w:r>
      <w:r>
        <w:rPr>
          <w:rFonts w:cs="Arial"/>
          <w:color w:val="222222"/>
          <w:lang w:val="de-DE"/>
        </w:rPr>
        <w:t>hrem Besitz befinden, in das S</w:t>
      </w:r>
      <w:r w:rsidRPr="00DE464B">
        <w:rPr>
          <w:rFonts w:cs="Arial"/>
          <w:color w:val="222222"/>
          <w:lang w:val="de-DE"/>
        </w:rPr>
        <w:t xml:space="preserve">ED P6000 </w:t>
      </w:r>
      <w:r>
        <w:rPr>
          <w:rFonts w:cs="Arial"/>
          <w:color w:val="222222"/>
          <w:lang w:val="de-DE"/>
        </w:rPr>
        <w:t>eintragen</w:t>
      </w:r>
      <w:r w:rsidRPr="00DE464B">
        <w:rPr>
          <w:rFonts w:cs="Arial"/>
          <w:color w:val="222222"/>
          <w:lang w:val="de-DE"/>
        </w:rPr>
        <w:t xml:space="preserve">, obwohl </w:t>
      </w:r>
      <w:r>
        <w:rPr>
          <w:rFonts w:cs="Arial"/>
          <w:color w:val="222222"/>
          <w:lang w:val="de-DE"/>
        </w:rPr>
        <w:t xml:space="preserve">manche </w:t>
      </w:r>
      <w:r w:rsidRPr="00DE464B">
        <w:rPr>
          <w:rFonts w:cs="Arial"/>
          <w:color w:val="222222"/>
          <w:lang w:val="de-DE"/>
        </w:rPr>
        <w:t>Informationen i</w:t>
      </w:r>
      <w:r w:rsidR="004F3D9C">
        <w:rPr>
          <w:rFonts w:cs="Arial"/>
          <w:color w:val="222222"/>
          <w:lang w:val="de-DE"/>
        </w:rPr>
        <w:t>m</w:t>
      </w:r>
      <w:r w:rsidRPr="00DE464B">
        <w:rPr>
          <w:rFonts w:cs="Arial"/>
          <w:color w:val="222222"/>
          <w:lang w:val="de-DE"/>
        </w:rPr>
        <w:t xml:space="preserve"> SED P6000 nicht als "obligatorisch" gekennzeichnet sind. D</w:t>
      </w:r>
      <w:r>
        <w:rPr>
          <w:rFonts w:cs="Arial"/>
          <w:color w:val="222222"/>
          <w:lang w:val="de-DE"/>
        </w:rPr>
        <w:t>er</w:t>
      </w:r>
      <w:r w:rsidRPr="00DE464B">
        <w:rPr>
          <w:rFonts w:cs="Arial"/>
          <w:color w:val="222222"/>
          <w:lang w:val="de-DE"/>
        </w:rPr>
        <w:t xml:space="preserve"> Kontakt</w:t>
      </w:r>
      <w:r>
        <w:rPr>
          <w:rFonts w:cs="Arial"/>
          <w:color w:val="222222"/>
          <w:lang w:val="de-DE"/>
        </w:rPr>
        <w:t xml:space="preserve">träger muss mindestens ein endgültiges </w:t>
      </w:r>
      <w:r w:rsidRPr="00DE464B">
        <w:rPr>
          <w:rFonts w:cs="Arial"/>
          <w:color w:val="222222"/>
          <w:lang w:val="de-DE"/>
        </w:rPr>
        <w:t>SED P6000 oder andere gleichwertige Informationen von jede</w:t>
      </w:r>
      <w:r>
        <w:rPr>
          <w:rFonts w:cs="Arial"/>
          <w:color w:val="222222"/>
          <w:lang w:val="de-DE"/>
        </w:rPr>
        <w:t>m beteiligten Träger</w:t>
      </w:r>
      <w:r w:rsidRPr="00DE464B">
        <w:rPr>
          <w:rFonts w:cs="Arial"/>
          <w:color w:val="222222"/>
          <w:lang w:val="de-DE"/>
        </w:rPr>
        <w:t xml:space="preserve"> erhalten, um d</w:t>
      </w:r>
      <w:r>
        <w:rPr>
          <w:rFonts w:cs="Arial"/>
          <w:color w:val="222222"/>
          <w:lang w:val="de-DE"/>
        </w:rPr>
        <w:t>as</w:t>
      </w:r>
      <w:r w:rsidRPr="00DE464B">
        <w:rPr>
          <w:rFonts w:cs="Arial"/>
          <w:color w:val="222222"/>
          <w:lang w:val="de-DE"/>
        </w:rPr>
        <w:t xml:space="preserve"> SED P7000 ausfüllen</w:t>
      </w:r>
      <w:r w:rsidR="009517ED">
        <w:rPr>
          <w:rFonts w:cs="Arial"/>
          <w:color w:val="222222"/>
          <w:lang w:val="de-DE"/>
        </w:rPr>
        <w:t xml:space="preserve"> zu können.</w:t>
      </w:r>
    </w:p>
    <w:p w:rsidR="00D45F99" w:rsidRPr="009517ED" w:rsidRDefault="009517ED" w:rsidP="00E45FFD">
      <w:pPr>
        <w:spacing w:before="120" w:after="240" w:line="240" w:lineRule="auto"/>
        <w:jc w:val="both"/>
        <w:rPr>
          <w:u w:val="single"/>
          <w:lang w:val="de-AT"/>
        </w:rPr>
      </w:pPr>
      <w:r w:rsidRPr="00DD00C3">
        <w:rPr>
          <w:rFonts w:cs="Arial"/>
          <w:color w:val="222222"/>
          <w:lang w:val="de-AT"/>
        </w:rPr>
        <w:t>Um den Inhalt und die Erläuterungen des SED P</w:t>
      </w:r>
      <w:r>
        <w:rPr>
          <w:rFonts w:cs="Arial"/>
          <w:color w:val="222222"/>
          <w:lang w:val="de-AT"/>
        </w:rPr>
        <w:t>6000</w:t>
      </w:r>
      <w:r w:rsidRPr="00DD00C3">
        <w:rPr>
          <w:rFonts w:cs="Arial"/>
          <w:color w:val="222222"/>
          <w:lang w:val="de-AT"/>
        </w:rPr>
        <w:t xml:space="preserve"> zu sehen, klicken Sie bitte</w:t>
      </w:r>
      <w:r w:rsidRPr="00DD00C3">
        <w:rPr>
          <w:lang w:val="de-AT"/>
        </w:rPr>
        <w:t xml:space="preserve"> </w:t>
      </w:r>
      <w:hyperlink r:id="rId7" w:history="1">
        <w:r w:rsidRPr="001D670A">
          <w:rPr>
            <w:rStyle w:val="Hyperlink"/>
            <w:lang w:val="de-AT"/>
          </w:rPr>
          <w:t>hier</w:t>
        </w:r>
      </w:hyperlink>
      <w:r w:rsidRPr="009517ED">
        <w:rPr>
          <w:lang w:val="de-AT"/>
        </w:rPr>
        <w:t>.</w:t>
      </w:r>
    </w:p>
    <w:sectPr w:rsidR="00D45F99" w:rsidRPr="009517ED" w:rsidSect="00B359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F0D"/>
    <w:multiLevelType w:val="hybridMultilevel"/>
    <w:tmpl w:val="EBB8B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D373A"/>
    <w:multiLevelType w:val="hybridMultilevel"/>
    <w:tmpl w:val="C9B0E68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E4009D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16"/>
        <w:szCs w:val="16"/>
      </w:rPr>
    </w:lvl>
    <w:lvl w:ilvl="2" w:tplc="0C07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6F44E13"/>
    <w:multiLevelType w:val="hybridMultilevel"/>
    <w:tmpl w:val="94E802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C494A6">
      <w:numFmt w:val="bullet"/>
      <w:lvlText w:val="•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60704"/>
    <w:multiLevelType w:val="hybridMultilevel"/>
    <w:tmpl w:val="C25E0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61FE8"/>
    <w:multiLevelType w:val="hybridMultilevel"/>
    <w:tmpl w:val="DB2CDBD4"/>
    <w:lvl w:ilvl="0" w:tplc="D9AE6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756EA"/>
    <w:multiLevelType w:val="hybridMultilevel"/>
    <w:tmpl w:val="13B42118"/>
    <w:lvl w:ilvl="0" w:tplc="E90063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hyphenationZone w:val="425"/>
  <w:characterSpacingControl w:val="doNotCompress"/>
  <w:compat/>
  <w:docVars>
    <w:docVar w:name="LW_DocType" w:val="NORMAL"/>
  </w:docVars>
  <w:rsids>
    <w:rsidRoot w:val="002846A4"/>
    <w:rsid w:val="00027AC0"/>
    <w:rsid w:val="00061D74"/>
    <w:rsid w:val="001657B7"/>
    <w:rsid w:val="001804D2"/>
    <w:rsid w:val="001A71D1"/>
    <w:rsid w:val="001C546B"/>
    <w:rsid w:val="001D4476"/>
    <w:rsid w:val="001D6C4F"/>
    <w:rsid w:val="00202648"/>
    <w:rsid w:val="00221758"/>
    <w:rsid w:val="00227A47"/>
    <w:rsid w:val="00243A50"/>
    <w:rsid w:val="00251C78"/>
    <w:rsid w:val="002846A4"/>
    <w:rsid w:val="002A0602"/>
    <w:rsid w:val="002B0824"/>
    <w:rsid w:val="00431CB0"/>
    <w:rsid w:val="004A6530"/>
    <w:rsid w:val="004F3D9C"/>
    <w:rsid w:val="004F4A5A"/>
    <w:rsid w:val="00505B95"/>
    <w:rsid w:val="00506D1E"/>
    <w:rsid w:val="00520EC4"/>
    <w:rsid w:val="0058495C"/>
    <w:rsid w:val="00624A07"/>
    <w:rsid w:val="00652C51"/>
    <w:rsid w:val="006A7B9E"/>
    <w:rsid w:val="00796C4B"/>
    <w:rsid w:val="00805904"/>
    <w:rsid w:val="009517ED"/>
    <w:rsid w:val="009B241C"/>
    <w:rsid w:val="009C733F"/>
    <w:rsid w:val="00A754A0"/>
    <w:rsid w:val="00AF50F5"/>
    <w:rsid w:val="00B35910"/>
    <w:rsid w:val="00B50AA5"/>
    <w:rsid w:val="00BB579C"/>
    <w:rsid w:val="00BE000C"/>
    <w:rsid w:val="00C06590"/>
    <w:rsid w:val="00C262FA"/>
    <w:rsid w:val="00C43B88"/>
    <w:rsid w:val="00C52DFE"/>
    <w:rsid w:val="00C5577D"/>
    <w:rsid w:val="00C7322B"/>
    <w:rsid w:val="00C75A00"/>
    <w:rsid w:val="00C95DC6"/>
    <w:rsid w:val="00CA574E"/>
    <w:rsid w:val="00CC0B39"/>
    <w:rsid w:val="00D0328B"/>
    <w:rsid w:val="00D3381D"/>
    <w:rsid w:val="00D45F99"/>
    <w:rsid w:val="00D46A87"/>
    <w:rsid w:val="00D7193B"/>
    <w:rsid w:val="00DE464B"/>
    <w:rsid w:val="00DF0145"/>
    <w:rsid w:val="00E30DC7"/>
    <w:rsid w:val="00E319E1"/>
    <w:rsid w:val="00E41EBF"/>
    <w:rsid w:val="00E45FFD"/>
    <w:rsid w:val="00F75482"/>
    <w:rsid w:val="00FB48E6"/>
    <w:rsid w:val="00FC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6590"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link w:val="berschrift2Zchn"/>
    <w:uiPriority w:val="9"/>
    <w:qFormat/>
    <w:rsid w:val="002846A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2846A4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Standard"/>
    <w:rsid w:val="002846A4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2846A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paragraph" w:styleId="Listenabsatz">
    <w:name w:val="List Paragraph"/>
    <w:basedOn w:val="Standard"/>
    <w:uiPriority w:val="34"/>
    <w:qFormat/>
    <w:rsid w:val="002846A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styleId="Hyperlink">
    <w:name w:val="Hyperlink"/>
    <w:uiPriority w:val="99"/>
    <w:unhideWhenUsed/>
    <w:rsid w:val="00520EC4"/>
    <w:rPr>
      <w:color w:val="0000FF"/>
      <w:u w:val="single"/>
    </w:rPr>
  </w:style>
  <w:style w:type="character" w:styleId="BesuchterHyperlink">
    <w:name w:val="FollowedHyperlink"/>
    <w:uiPriority w:val="99"/>
    <w:semiHidden/>
    <w:unhideWhenUsed/>
    <w:rsid w:val="00431CB0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546B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2846A4"/>
    <w:pPr>
      <w:spacing w:before="100" w:beforeAutospacing="1" w:after="100" w:afterAutospacing="1" w:line="240" w:lineRule="auto"/>
      <w:outlineLvl w:val="1"/>
    </w:pPr>
    <w:rPr>
      <w:rFonts w:ascii="Verdana" w:eastAsia="Times New Roman" w:hAnsi="Verdana"/>
      <w:b/>
      <w:bCs/>
      <w:color w:val="000000"/>
      <w:sz w:val="36"/>
      <w:szCs w:val="36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846A4"/>
    <w:rPr>
      <w:rFonts w:ascii="Verdana" w:eastAsia="Times New Roman" w:hAnsi="Verdana"/>
      <w:b/>
      <w:bCs/>
      <w:color w:val="000000"/>
      <w:sz w:val="36"/>
      <w:szCs w:val="36"/>
      <w:lang w:val="en-US"/>
    </w:rPr>
  </w:style>
  <w:style w:type="paragraph" w:customStyle="1" w:styleId="c1">
    <w:name w:val="c1"/>
    <w:basedOn w:val="Normal"/>
    <w:rsid w:val="002846A4"/>
    <w:pPr>
      <w:spacing w:after="0" w:line="240" w:lineRule="auto"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customStyle="1" w:styleId="c41">
    <w:name w:val="c41"/>
    <w:rsid w:val="002846A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vertAlign w:val="baseline"/>
    </w:rPr>
  </w:style>
  <w:style w:type="paragraph" w:styleId="ListParagraph">
    <w:name w:val="List Paragraph"/>
    <w:basedOn w:val="Normal"/>
    <w:uiPriority w:val="34"/>
    <w:qFormat/>
    <w:rsid w:val="002846A4"/>
    <w:pPr>
      <w:spacing w:after="0" w:line="240" w:lineRule="auto"/>
      <w:ind w:left="720"/>
      <w:contextualSpacing/>
    </w:pPr>
    <w:rPr>
      <w:rFonts w:ascii="Verdana" w:eastAsia="Times New Roman" w:hAnsi="Verdana"/>
      <w:color w:val="000000"/>
      <w:sz w:val="20"/>
      <w:szCs w:val="20"/>
      <w:lang w:val="en-US" w:eastAsia="en-GB"/>
    </w:rPr>
  </w:style>
  <w:style w:type="character" w:styleId="Hyperlink">
    <w:name w:val="Hyperlink"/>
    <w:uiPriority w:val="99"/>
    <w:unhideWhenUsed/>
    <w:rsid w:val="00520EC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1CB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5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546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9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file://s01bfs2/hmerlokal/ZWISCHENSTAATLICH/EG_EU_EWG-Verordnungen/1%20-%20VO%20883_04/elektron.%20Datenaustausch/Expertengruppe%20SEDs/Guidelines/Uebersetzung/P-Guidelines/Forms/P14000_en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s01bfs2/hmerlokal/ZWISCHENSTAATLICH/EG_EU_EWG-Verordnungen/1%20-%20VO%20883_04/elektron.%20Datenaustausch/Expertengruppe%20SEDs/Guidelines/Uebersetzung/P-Guidelines/P7000.docx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file://s01bfs2/hmerlokal/ZWISCHENSTAATLICH/EG_EU_EWG-Verordnungen/1%20-%20VO%20883_04/elektron.%20Datenaustausch/Expertengruppe%20SEDs/Guidelines/Uebersetzung/PDs/PD_P1.docx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EF22B30C-3E0C-4354-A91B-690D20C38B62}"/>
</file>

<file path=customXml/itemProps2.xml><?xml version="1.0" encoding="utf-8"?>
<ds:datastoreItem xmlns:ds="http://schemas.openxmlformats.org/officeDocument/2006/customXml" ds:itemID="{5E6C7315-4EF6-45E5-B5D1-C5E8AA412170}"/>
</file>

<file path=customXml/itemProps3.xml><?xml version="1.0" encoding="utf-8"?>
<ds:datastoreItem xmlns:ds="http://schemas.openxmlformats.org/officeDocument/2006/customXml" ds:itemID="{407389C5-F4B6-40F9-9C75-4519CCC20B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3343</CharactersWithSpaces>
  <SharedDoc>false</SharedDoc>
  <HLinks>
    <vt:vector size="18" baseType="variant">
      <vt:variant>
        <vt:i4>4456575</vt:i4>
      </vt:variant>
      <vt:variant>
        <vt:i4>6</vt:i4>
      </vt:variant>
      <vt:variant>
        <vt:i4>0</vt:i4>
      </vt:variant>
      <vt:variant>
        <vt:i4>5</vt:i4>
      </vt:variant>
      <vt:variant>
        <vt:lpwstr>P_BUC_Guidelines/P_BUC_Guidelines/Pension/SEDs/Forms/P6000_en.htm</vt:lpwstr>
      </vt:variant>
      <vt:variant>
        <vt:lpwstr/>
      </vt:variant>
      <vt:variant>
        <vt:i4>1769547</vt:i4>
      </vt:variant>
      <vt:variant>
        <vt:i4>3</vt:i4>
      </vt:variant>
      <vt:variant>
        <vt:i4>0</vt:i4>
      </vt:variant>
      <vt:variant>
        <vt:i4>5</vt:i4>
      </vt:variant>
      <vt:variant>
        <vt:lpwstr>P_BUC_Guidelines/P_BUC_Guidelines/Pension/SEDs/P7000.doc</vt:lpwstr>
      </vt:variant>
      <vt:variant>
        <vt:lpwstr/>
      </vt:variant>
      <vt:variant>
        <vt:i4>7471228</vt:i4>
      </vt:variant>
      <vt:variant>
        <vt:i4>0</vt:i4>
      </vt:variant>
      <vt:variant>
        <vt:i4>0</vt:i4>
      </vt:variant>
      <vt:variant>
        <vt:i4>5</vt:i4>
      </vt:variant>
      <vt:variant>
        <vt:lpwstr>P_BUC_Guidelines/P_BUC_Guidelines/Pension/PDs/PDP1.pdf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P6000 dt. PVA</dc:title>
  <dc:creator>02u7500f</dc:creator>
  <cp:lastModifiedBy>02u7500f</cp:lastModifiedBy>
  <cp:revision>7</cp:revision>
  <cp:lastPrinted>2018-11-05T12:31:00Z</cp:lastPrinted>
  <dcterms:created xsi:type="dcterms:W3CDTF">2018-10-25T10:48:00Z</dcterms:created>
  <dcterms:modified xsi:type="dcterms:W3CDTF">2018-11-05T12:41:00Z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