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97" w:rsidRPr="00416B3D" w:rsidRDefault="00256A97" w:rsidP="00256A97">
      <w:pPr>
        <w:pStyle w:val="Titre2"/>
        <w:rPr>
          <w:rFonts w:eastAsia="Times New Roman"/>
          <w:sz w:val="28"/>
          <w:szCs w:val="28"/>
        </w:rPr>
      </w:pPr>
      <w:r w:rsidRPr="00416B3D">
        <w:rPr>
          <w:rFonts w:eastAsia="Times New Roman"/>
          <w:sz w:val="28"/>
          <w:szCs w:val="28"/>
        </w:rPr>
        <w:t>Pension (P)</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4"/>
        <w:gridCol w:w="1583"/>
        <w:gridCol w:w="4263"/>
        <w:gridCol w:w="1967"/>
      </w:tblGrid>
      <w:tr w:rsidR="00256A97" w:rsidRPr="00416B3D" w:rsidTr="00570A85">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jc w:val="center"/>
              <w:rPr>
                <w:rFonts w:eastAsia="Times New Roman"/>
                <w:b/>
                <w:bCs/>
                <w:sz w:val="22"/>
                <w:szCs w:val="22"/>
              </w:rPr>
            </w:pPr>
            <w:r w:rsidRPr="00416B3D">
              <w:rPr>
                <w:rFonts w:eastAsia="Times New Roman"/>
                <w:b/>
                <w:bCs/>
                <w:sz w:val="22"/>
                <w:szCs w:val="22"/>
              </w:rPr>
              <w:t>BUC Code</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jc w:val="center"/>
              <w:rPr>
                <w:rFonts w:eastAsia="Times New Roman"/>
                <w:b/>
                <w:bCs/>
                <w:sz w:val="22"/>
                <w:szCs w:val="22"/>
              </w:rPr>
            </w:pPr>
            <w:r w:rsidRPr="00416B3D">
              <w:rPr>
                <w:rFonts w:eastAsia="Times New Roman"/>
                <w:b/>
                <w:bCs/>
                <w:sz w:val="22"/>
                <w:szCs w:val="22"/>
              </w:rPr>
              <w:t>BUC Name</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jc w:val="center"/>
              <w:rPr>
                <w:rFonts w:eastAsia="Times New Roman"/>
                <w:b/>
                <w:bCs/>
                <w:sz w:val="22"/>
                <w:szCs w:val="22"/>
              </w:rPr>
            </w:pPr>
            <w:r w:rsidRPr="00416B3D">
              <w:rPr>
                <w:rFonts w:eastAsia="Times New Roman"/>
                <w:b/>
                <w:bCs/>
                <w:sz w:val="22"/>
                <w:szCs w:val="22"/>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jc w:val="center"/>
              <w:rPr>
                <w:rFonts w:eastAsia="Times New Roman"/>
                <w:b/>
                <w:bCs/>
                <w:sz w:val="22"/>
                <w:szCs w:val="22"/>
              </w:rPr>
            </w:pPr>
            <w:r w:rsidRPr="00416B3D">
              <w:rPr>
                <w:rFonts w:eastAsia="Times New Roman"/>
                <w:b/>
                <w:bCs/>
                <w:sz w:val="22"/>
                <w:szCs w:val="22"/>
              </w:rPr>
              <w:t> SEDS</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P_BUC_01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Old-Age Pension Claim</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permits the transfer of an Old-Age Pension Claim made in one MS to other MSs, and the exchange of relevant Old-Age Pension information to determine the Old-Age Pension in accordance with EU Rules.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P2000, P3000_xx, P4000, P5000, P6000, P7000, P8000, P9000, P10000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P_BUC_02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Survivors Pension Claim</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permits the transfer of a Survivors Pension Claim made in one MS to other MSs, and the exchange of relevant Survivors Pension information to determine the Survivors Pension in accordance with EU Rules.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P2100, P3000xx, P4000, P5000, P6000, P8000, P9000, P10000, P7000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P_BUC_03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Invalidity Pension Claim</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permits the transfer of an Invalidity Pension Claim made in one MS to other MSs, and the exchange of relevant Invalidity Pension information to determine the Invalidity Pension in accordance with EU Rules.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P2200, P3000_xx, P4000, P5000, P6000, P7000, P8000, P9000, P10000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P_BUC_04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Request for Child Raising Period</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allows a MS to request information about the provision of Child Raising Periods in another EU MS.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P1000, P1100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P_BUC_05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Ad-hoc Request for Pension Information</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allows a MS to request Ad-Hoc information from other MSs during the course of their internal investigation.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P4000, P5000, P6000, P7000, P8000, P9000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P_BUC_06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Notification of Pension Information</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allows a MS to send information to another MS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P5000, P6000 ,P7000, P10000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P_BUC_07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Request for Pension Amount to Determine Supplements</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allows a MS to request information about the payment of Supplements in another EU MS.</w:t>
            </w:r>
            <w:bookmarkStart w:id="0" w:name="_GoBack"/>
            <w:bookmarkEnd w:id="0"/>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P11000, P12000, P13000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P_BUC_08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Information on Pension Amount to award a Pension Supplement</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allows a MS to notify other MS about a decision they have taken with regard to paying a supplement.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P12000, P13000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t>P_BUC_09 </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Change in Personal Circumstances</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This BUC allows a MS to notify other MS of a Change of Circumstances for a person who is in receipt of a Pension.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P14000</w:t>
            </w:r>
          </w:p>
        </w:tc>
      </w:tr>
      <w:tr w:rsidR="00256A97" w:rsidRPr="00416B3D" w:rsidTr="00570A8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pStyle w:val="Titre3"/>
              <w:rPr>
                <w:rFonts w:eastAsia="Times New Roman"/>
                <w:sz w:val="22"/>
                <w:szCs w:val="22"/>
              </w:rPr>
            </w:pPr>
            <w:r w:rsidRPr="00416B3D">
              <w:rPr>
                <w:rFonts w:eastAsia="Times New Roman"/>
                <w:sz w:val="22"/>
                <w:szCs w:val="22"/>
              </w:rPr>
              <w:lastRenderedPageBreak/>
              <w:t>P_BUC_10</w:t>
            </w:r>
          </w:p>
        </w:tc>
        <w:tc>
          <w:tcPr>
            <w:tcW w:w="15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Transitional cases</w:t>
            </w:r>
          </w:p>
        </w:tc>
        <w:tc>
          <w:tcPr>
            <w:tcW w:w="42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 xml:space="preserve">This BUC describes the transition from paper to electronic SEDs for cases opened before EESSI is going in production. </w:t>
            </w:r>
            <w:r w:rsidRPr="00416B3D">
              <w:rPr>
                <w:rFonts w:eastAsia="Times New Roman"/>
                <w:sz w:val="22"/>
                <w:szCs w:val="22"/>
              </w:rPr>
              <w:br/>
              <w:t>Such a case, "on-going-case", is one which has started on paper and where the Access Points (APs) of the institutions involved have become EESSI enabled before the case is completed.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256A97" w:rsidRPr="00416B3D" w:rsidRDefault="00256A97" w:rsidP="00570A85">
            <w:pPr>
              <w:rPr>
                <w:rFonts w:eastAsia="Times New Roman"/>
                <w:sz w:val="22"/>
                <w:szCs w:val="22"/>
              </w:rPr>
            </w:pPr>
            <w:r w:rsidRPr="00416B3D">
              <w:rPr>
                <w:rFonts w:eastAsia="Times New Roman"/>
                <w:sz w:val="22"/>
                <w:szCs w:val="22"/>
              </w:rPr>
              <w:t>P4000, P5000, P6000, P7000, P8000, P9000, P10000,P15000,</w:t>
            </w:r>
          </w:p>
        </w:tc>
      </w:tr>
    </w:tbl>
    <w:p w:rsidR="004644C4" w:rsidRPr="00E752A7" w:rsidRDefault="004644C4" w:rsidP="00E752A7"/>
    <w:sectPr w:rsidR="004644C4" w:rsidRPr="00E752A7" w:rsidSect="008670F6">
      <w:pgSz w:w="11907" w:h="1683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F"/>
    <w:rsid w:val="000A100F"/>
    <w:rsid w:val="00256A97"/>
    <w:rsid w:val="003631A8"/>
    <w:rsid w:val="004168F3"/>
    <w:rsid w:val="004644C4"/>
    <w:rsid w:val="007E4CDF"/>
    <w:rsid w:val="008670F6"/>
    <w:rsid w:val="00A63E03"/>
    <w:rsid w:val="00C361AC"/>
    <w:rsid w:val="00E7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1F5EB-5FF6-4316-8390-67E71A0F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0F"/>
    <w:pPr>
      <w:spacing w:after="0" w:line="240" w:lineRule="auto"/>
    </w:pPr>
    <w:rPr>
      <w:rFonts w:ascii="Times New Roman" w:eastAsiaTheme="minorEastAsia" w:hAnsi="Times New Roman" w:cs="Times New Roman"/>
      <w:sz w:val="24"/>
      <w:szCs w:val="24"/>
    </w:rPr>
  </w:style>
  <w:style w:type="paragraph" w:styleId="Titre2">
    <w:name w:val="heading 2"/>
    <w:basedOn w:val="Normal"/>
    <w:link w:val="Titre2Car"/>
    <w:uiPriority w:val="9"/>
    <w:qFormat/>
    <w:rsid w:val="000A100F"/>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0A100F"/>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A100F"/>
    <w:rPr>
      <w:rFonts w:ascii="Times New Roman" w:eastAsiaTheme="minorEastAsia" w:hAnsi="Times New Roman" w:cs="Times New Roman"/>
      <w:b/>
      <w:bCs/>
      <w:sz w:val="36"/>
      <w:szCs w:val="36"/>
    </w:rPr>
  </w:style>
  <w:style w:type="character" w:customStyle="1" w:styleId="Titre3Car">
    <w:name w:val="Titre 3 Car"/>
    <w:basedOn w:val="Policepardfaut"/>
    <w:link w:val="Titre3"/>
    <w:uiPriority w:val="9"/>
    <w:rsid w:val="000A100F"/>
    <w:rPr>
      <w:rFonts w:ascii="Times New Roman" w:eastAsiaTheme="minorEastAsia" w:hAnsi="Times New Roman" w:cs="Times New Roman"/>
      <w:b/>
      <w:bCs/>
      <w:sz w:val="27"/>
      <w:szCs w:val="27"/>
    </w:rPr>
  </w:style>
  <w:style w:type="paragraph" w:styleId="NormalWeb">
    <w:name w:val="Normal (Web)"/>
    <w:basedOn w:val="Normal"/>
    <w:uiPriority w:val="99"/>
    <w:unhideWhenUsed/>
    <w:rsid w:val="000A10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942A03E-4A38-4F54-A8F7-603FFF9F3749}"/>
</file>

<file path=customXml/itemProps2.xml><?xml version="1.0" encoding="utf-8"?>
<ds:datastoreItem xmlns:ds="http://schemas.openxmlformats.org/officeDocument/2006/customXml" ds:itemID="{6501311C-6B48-4BC7-8904-43F609A4913B}"/>
</file>

<file path=customXml/itemProps3.xml><?xml version="1.0" encoding="utf-8"?>
<ds:datastoreItem xmlns:ds="http://schemas.openxmlformats.org/officeDocument/2006/customXml" ds:itemID="{183F55DF-D2E6-439E-9A14-335524EF5529}"/>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Pension_BUCs_summary_v1.0</dc:title>
  <dc:subject/>
  <dc:creator>Rossmanith Xavier BSV</dc:creator>
  <cp:keywords/>
  <dc:description/>
  <cp:lastModifiedBy>Rossmanith Xavier BSV</cp:lastModifiedBy>
  <cp:revision>2</cp:revision>
  <dcterms:created xsi:type="dcterms:W3CDTF">2018-01-29T16:51:00Z</dcterms:created>
  <dcterms:modified xsi:type="dcterms:W3CDTF">2018-01-29T16:51:00Z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