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B0" w:rsidRPr="002E7B2B" w:rsidRDefault="00431CB0" w:rsidP="00431CB0">
      <w:pPr>
        <w:jc w:val="center"/>
        <w:outlineLvl w:val="1"/>
        <w:rPr>
          <w:b/>
          <w:lang w:val="en-US"/>
        </w:rPr>
      </w:pPr>
      <w:bookmarkStart w:id="0" w:name="_Toc477494120"/>
      <w:bookmarkStart w:id="1" w:name="SEDP6000"/>
      <w:r w:rsidRPr="002E7B2B">
        <w:rPr>
          <w:b/>
        </w:rPr>
        <w:t xml:space="preserve">SED </w:t>
      </w:r>
      <w:r w:rsidRPr="00061D74">
        <w:rPr>
          <w:b/>
        </w:rPr>
        <w:t>P6000</w:t>
      </w:r>
      <w:r w:rsidRPr="002E7B2B">
        <w:rPr>
          <w:b/>
        </w:rPr>
        <w:t xml:space="preserve"> – </w:t>
      </w:r>
      <w:r w:rsidRPr="002E7B2B">
        <w:rPr>
          <w:b/>
          <w:lang w:val="en-US"/>
        </w:rPr>
        <w:t xml:space="preserve">Pension </w:t>
      </w:r>
      <w:r w:rsidRPr="004F4A5A">
        <w:rPr>
          <w:b/>
          <w:lang w:val="en-US"/>
        </w:rPr>
        <w:t>Decision</w:t>
      </w:r>
      <w:bookmarkEnd w:id="0"/>
      <w:r w:rsidR="00061D74" w:rsidRPr="004F4A5A">
        <w:rPr>
          <w:b/>
          <w:lang w:val="en-US"/>
        </w:rPr>
        <w:t xml:space="preserve"> </w:t>
      </w:r>
      <w:r w:rsidR="00061D74" w:rsidRPr="004F4A5A">
        <w:rPr>
          <w:rStyle w:val="c41"/>
          <w:rFonts w:ascii="Calibri" w:hAnsi="Calibri"/>
          <w:color w:val="auto"/>
          <w:sz w:val="24"/>
          <w:szCs w:val="24"/>
        </w:rPr>
        <w:t>(version 4 P-SEDs)</w:t>
      </w:r>
    </w:p>
    <w:bookmarkEnd w:id="1"/>
    <w:p w:rsidR="00624A07" w:rsidRPr="00624A07" w:rsidRDefault="00624A07" w:rsidP="00431CB0">
      <w:pPr>
        <w:pStyle w:val="ListParagraph"/>
        <w:numPr>
          <w:ilvl w:val="0"/>
          <w:numId w:val="5"/>
        </w:numPr>
        <w:ind w:left="284" w:hanging="284"/>
        <w:jc w:val="both"/>
        <w:rPr>
          <w:color w:val="000000" w:themeColor="text1"/>
        </w:rPr>
      </w:pPr>
      <w:r w:rsidRPr="00624A07">
        <w:rPr>
          <w:rFonts w:ascii="Calibri" w:hAnsi="Calibri"/>
          <w:b/>
          <w:sz w:val="22"/>
          <w:szCs w:val="22"/>
        </w:rPr>
        <w:t>Introductory remarks</w:t>
      </w:r>
    </w:p>
    <w:p w:rsidR="00D3381D" w:rsidRDefault="001C546B" w:rsidP="00D3381D">
      <w:pPr>
        <w:spacing w:after="0"/>
        <w:jc w:val="both"/>
        <w:rPr>
          <w:color w:val="000000" w:themeColor="text1"/>
        </w:rPr>
      </w:pPr>
      <w:r w:rsidRPr="00AF50F5">
        <w:rPr>
          <w:color w:val="000000" w:themeColor="text1"/>
        </w:rPr>
        <w:t>This SED has to be used in order to apply Art. 47(6), 48(1), 50(1) and 51(2) of Reg. 987/2009.</w:t>
      </w:r>
      <w:r w:rsidR="00D3381D">
        <w:rPr>
          <w:color w:val="000000" w:themeColor="text1"/>
        </w:rPr>
        <w:t xml:space="preserve"> </w:t>
      </w:r>
    </w:p>
    <w:p w:rsidR="00D3381D" w:rsidRPr="002E7B2B" w:rsidRDefault="00BB579C" w:rsidP="00D3381D">
      <w:pPr>
        <w:spacing w:after="0"/>
        <w:jc w:val="both"/>
        <w:rPr>
          <w:rFonts w:cs="Arial"/>
        </w:rPr>
      </w:pPr>
      <w:r>
        <w:rPr>
          <w:rFonts w:cs="Arial"/>
        </w:rPr>
        <w:t xml:space="preserve">SED </w:t>
      </w:r>
      <w:r w:rsidR="00D3381D" w:rsidRPr="002E7B2B">
        <w:rPr>
          <w:rFonts w:cs="Arial"/>
        </w:rPr>
        <w:t>P6000 is the SED that is used for informing other institutions</w:t>
      </w:r>
      <w:r w:rsidR="00D3381D">
        <w:rPr>
          <w:rFonts w:cs="Arial"/>
        </w:rPr>
        <w:t xml:space="preserve"> concerned</w:t>
      </w:r>
      <w:r w:rsidR="00D3381D" w:rsidRPr="002E7B2B">
        <w:rPr>
          <w:rFonts w:cs="Arial"/>
        </w:rPr>
        <w:t xml:space="preserve"> about a decision </w:t>
      </w:r>
      <w:r w:rsidR="00D3381D">
        <w:rPr>
          <w:rFonts w:cs="Arial"/>
        </w:rPr>
        <w:t xml:space="preserve">of </w:t>
      </w:r>
      <w:r w:rsidR="00D3381D" w:rsidRPr="002E7B2B">
        <w:rPr>
          <w:rFonts w:cs="Arial"/>
        </w:rPr>
        <w:t xml:space="preserve"> the entitlement to the following types of pension:</w:t>
      </w:r>
    </w:p>
    <w:p w:rsidR="00431CB0" w:rsidRDefault="00431CB0" w:rsidP="00431CB0">
      <w:pPr>
        <w:numPr>
          <w:ilvl w:val="0"/>
          <w:numId w:val="1"/>
        </w:numPr>
        <w:spacing w:after="0"/>
        <w:ind w:left="1423" w:hanging="357"/>
        <w:rPr>
          <w:rFonts w:cs="Arial"/>
          <w:lang w:val="en-US"/>
        </w:rPr>
      </w:pPr>
      <w:r w:rsidRPr="002E7B2B">
        <w:rPr>
          <w:rFonts w:cs="Arial"/>
          <w:lang w:val="en-US"/>
        </w:rPr>
        <w:t>old age</w:t>
      </w:r>
      <w:r w:rsidR="00A754A0">
        <w:rPr>
          <w:rFonts w:cs="Arial"/>
          <w:lang w:val="en-US"/>
        </w:rPr>
        <w:t xml:space="preserve"> pension</w:t>
      </w:r>
    </w:p>
    <w:p w:rsidR="00431CB0" w:rsidRPr="002E7B2B" w:rsidRDefault="00431CB0" w:rsidP="00431CB0">
      <w:pPr>
        <w:numPr>
          <w:ilvl w:val="0"/>
          <w:numId w:val="1"/>
        </w:numPr>
        <w:spacing w:after="0"/>
        <w:ind w:left="1423" w:hanging="357"/>
        <w:rPr>
          <w:rFonts w:cs="Arial"/>
          <w:lang w:val="en-US"/>
        </w:rPr>
      </w:pPr>
      <w:r w:rsidRPr="002E7B2B">
        <w:rPr>
          <w:rFonts w:cs="Arial"/>
          <w:lang w:val="en-US"/>
        </w:rPr>
        <w:t>invalidity</w:t>
      </w:r>
      <w:r w:rsidR="00A754A0">
        <w:rPr>
          <w:rFonts w:cs="Arial"/>
          <w:lang w:val="en-US"/>
        </w:rPr>
        <w:t xml:space="preserve"> pension</w:t>
      </w:r>
    </w:p>
    <w:p w:rsidR="00431CB0" w:rsidRDefault="00431CB0" w:rsidP="00431CB0">
      <w:pPr>
        <w:numPr>
          <w:ilvl w:val="0"/>
          <w:numId w:val="1"/>
        </w:numPr>
        <w:spacing w:after="0"/>
        <w:ind w:left="1423" w:hanging="357"/>
        <w:rPr>
          <w:rFonts w:cs="Arial"/>
          <w:lang w:val="en-US"/>
        </w:rPr>
      </w:pPr>
      <w:r w:rsidRPr="002E7B2B">
        <w:rPr>
          <w:rFonts w:cs="Arial"/>
          <w:lang w:val="en-US"/>
        </w:rPr>
        <w:t>survivor’s pension</w:t>
      </w:r>
    </w:p>
    <w:p w:rsidR="001D6C4F" w:rsidRDefault="001D6C4F" w:rsidP="00431CB0">
      <w:pPr>
        <w:spacing w:after="0"/>
        <w:ind w:left="720"/>
        <w:rPr>
          <w:rFonts w:cs="Arial"/>
        </w:rPr>
      </w:pPr>
    </w:p>
    <w:p w:rsidR="002846A4" w:rsidRDefault="00FC5DA3" w:rsidP="00431CB0">
      <w:r>
        <w:t xml:space="preserve">SED </w:t>
      </w:r>
      <w:r w:rsidR="002846A4">
        <w:t xml:space="preserve">P6000 is </w:t>
      </w:r>
      <w:r w:rsidR="00221758">
        <w:t>also used as the basis for the Portable D</w:t>
      </w:r>
      <w:r w:rsidR="002846A4">
        <w:t xml:space="preserve">ocument </w:t>
      </w:r>
      <w:hyperlink r:id="rId6" w:history="1">
        <w:r w:rsidR="002846A4" w:rsidRPr="00F75482">
          <w:rPr>
            <w:rStyle w:val="Hyperlink"/>
          </w:rPr>
          <w:t>P1 (Summary of pension decisions)</w:t>
        </w:r>
      </w:hyperlink>
      <w:r w:rsidR="002846A4">
        <w:t xml:space="preserve"> and </w:t>
      </w:r>
      <w:r w:rsidR="002B0824">
        <w:t xml:space="preserve">SED </w:t>
      </w:r>
      <w:hyperlink r:id="rId7" w:history="1">
        <w:r w:rsidR="002846A4" w:rsidRPr="00243A50">
          <w:rPr>
            <w:rStyle w:val="Hyperlink"/>
          </w:rPr>
          <w:t>P7000 (Notification of Summary note)</w:t>
        </w:r>
      </w:hyperlink>
      <w:r w:rsidR="002846A4">
        <w:t>.</w:t>
      </w:r>
    </w:p>
    <w:p w:rsidR="001C546B" w:rsidRPr="00624A07" w:rsidRDefault="001C546B" w:rsidP="00624A07">
      <w:pPr>
        <w:pStyle w:val="ListParagraph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24A07">
        <w:rPr>
          <w:rFonts w:ascii="Calibri" w:hAnsi="Calibri"/>
          <w:b/>
          <w:sz w:val="22"/>
          <w:szCs w:val="22"/>
        </w:rPr>
        <w:t>Corresponding BUCs</w:t>
      </w:r>
    </w:p>
    <w:p w:rsidR="004A6530" w:rsidRPr="0055054B" w:rsidRDefault="004A6530" w:rsidP="004A6530">
      <w:pPr>
        <w:numPr>
          <w:ilvl w:val="0"/>
          <w:numId w:val="4"/>
        </w:numPr>
        <w:spacing w:after="0"/>
        <w:jc w:val="both"/>
      </w:pPr>
      <w:r w:rsidRPr="0055054B">
        <w:rPr>
          <w:lang w:val="en-US"/>
        </w:rPr>
        <w:t>P_BUC_01 – Old Age Pension Claim</w:t>
      </w:r>
    </w:p>
    <w:p w:rsidR="004A6530" w:rsidRPr="0055054B" w:rsidRDefault="004A6530" w:rsidP="004A6530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55054B">
        <w:rPr>
          <w:lang w:val="en-US"/>
        </w:rPr>
        <w:t>P_BUC_02 – Survivors Pension Claim</w:t>
      </w:r>
    </w:p>
    <w:p w:rsidR="004A6530" w:rsidRPr="0055054B" w:rsidRDefault="004A6530" w:rsidP="004A6530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55054B">
        <w:rPr>
          <w:lang w:val="en-US"/>
        </w:rPr>
        <w:t>P_BUC_03 – Invalidity Pension Claim</w:t>
      </w:r>
    </w:p>
    <w:p w:rsidR="004A6530" w:rsidRDefault="004A6530" w:rsidP="004A6530">
      <w:pPr>
        <w:numPr>
          <w:ilvl w:val="0"/>
          <w:numId w:val="4"/>
        </w:numPr>
        <w:spacing w:after="0"/>
        <w:jc w:val="both"/>
        <w:rPr>
          <w:lang w:val="en-US"/>
        </w:rPr>
      </w:pPr>
      <w:r w:rsidRPr="0055054B">
        <w:rPr>
          <w:lang w:val="en-US"/>
        </w:rPr>
        <w:t>P_BUC_05 – Ad hoc Request for Pension Information</w:t>
      </w:r>
    </w:p>
    <w:p w:rsidR="004A6530" w:rsidRPr="0055054B" w:rsidRDefault="004A6530" w:rsidP="004A6530">
      <w:pPr>
        <w:numPr>
          <w:ilvl w:val="0"/>
          <w:numId w:val="4"/>
        </w:numPr>
        <w:spacing w:after="0"/>
        <w:jc w:val="both"/>
        <w:rPr>
          <w:lang w:val="en-US"/>
        </w:rPr>
      </w:pPr>
      <w:r>
        <w:rPr>
          <w:lang w:val="en-US"/>
        </w:rPr>
        <w:t>P_BUC_06 – Notification of Pension Information</w:t>
      </w:r>
    </w:p>
    <w:p w:rsidR="00624A07" w:rsidRPr="00BA7496" w:rsidRDefault="00FB48E6" w:rsidP="00624A07">
      <w:pPr>
        <w:numPr>
          <w:ilvl w:val="0"/>
          <w:numId w:val="4"/>
        </w:numPr>
        <w:spacing w:after="0" w:line="23" w:lineRule="atLeast"/>
        <w:ind w:left="714" w:hanging="357"/>
        <w:jc w:val="both"/>
        <w:rPr>
          <w:rFonts w:cs="Arial"/>
          <w:color w:val="FF0000"/>
        </w:rPr>
      </w:pPr>
      <w:r>
        <w:rPr>
          <w:lang w:val="en-US"/>
        </w:rPr>
        <w:t>P_BUC_10 - Transitional Cases</w:t>
      </w:r>
      <w:r w:rsidR="00DF0145">
        <w:rPr>
          <w:lang w:val="en-US"/>
        </w:rPr>
        <w:t xml:space="preserve"> (conditionally approved)</w:t>
      </w:r>
      <w:bookmarkStart w:id="2" w:name="_GoBack"/>
      <w:bookmarkEnd w:id="2"/>
    </w:p>
    <w:p w:rsidR="00AF50F5" w:rsidRDefault="00AF50F5" w:rsidP="00AF50F5">
      <w:pPr>
        <w:spacing w:after="0"/>
        <w:rPr>
          <w:b/>
        </w:rPr>
      </w:pPr>
    </w:p>
    <w:p w:rsidR="001C546B" w:rsidRPr="00624A07" w:rsidRDefault="001C546B" w:rsidP="00624A07">
      <w:pPr>
        <w:pStyle w:val="ListParagraph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24A07">
        <w:rPr>
          <w:rFonts w:ascii="Calibri" w:hAnsi="Calibri"/>
          <w:b/>
          <w:sz w:val="22"/>
          <w:szCs w:val="22"/>
        </w:rPr>
        <w:t>Content and handling</w:t>
      </w:r>
    </w:p>
    <w:p w:rsidR="00431CB0" w:rsidRPr="002E7B2B" w:rsidRDefault="00431CB0" w:rsidP="00AF50F5">
      <w:pPr>
        <w:spacing w:after="0"/>
        <w:jc w:val="both"/>
        <w:rPr>
          <w:rFonts w:cs="Arial"/>
          <w:lang w:val="en-US"/>
        </w:rPr>
      </w:pPr>
      <w:r w:rsidRPr="002E7B2B">
        <w:rPr>
          <w:rFonts w:cs="Arial"/>
          <w:lang w:val="en-US"/>
        </w:rPr>
        <w:t xml:space="preserve">The information regarding the </w:t>
      </w:r>
      <w:r w:rsidR="001C546B">
        <w:rPr>
          <w:rFonts w:cs="Arial"/>
          <w:lang w:val="en-US"/>
        </w:rPr>
        <w:t xml:space="preserve">section </w:t>
      </w:r>
      <w:r w:rsidR="00E319E1">
        <w:rPr>
          <w:rFonts w:cs="Arial"/>
          <w:lang w:val="en-US"/>
        </w:rPr>
        <w:t>'In</w:t>
      </w:r>
      <w:r w:rsidRPr="002E7B2B">
        <w:rPr>
          <w:rFonts w:cs="Arial"/>
          <w:lang w:val="en-US"/>
        </w:rPr>
        <w:t>sured person</w:t>
      </w:r>
      <w:r w:rsidR="00E319E1">
        <w:rPr>
          <w:rFonts w:cs="Arial"/>
          <w:lang w:val="en-US"/>
        </w:rPr>
        <w:t>'</w:t>
      </w:r>
      <w:r w:rsidRPr="002E7B2B">
        <w:rPr>
          <w:rFonts w:cs="Arial"/>
          <w:lang w:val="en-US"/>
        </w:rPr>
        <w:t xml:space="preserve"> must always be filled i</w:t>
      </w:r>
      <w:r w:rsidR="00E319E1">
        <w:rPr>
          <w:rFonts w:cs="Arial"/>
          <w:lang w:val="en-US"/>
        </w:rPr>
        <w:t>n. In case of a decision on old-</w:t>
      </w:r>
      <w:r w:rsidRPr="002E7B2B">
        <w:rPr>
          <w:rFonts w:cs="Arial"/>
          <w:lang w:val="en-US"/>
        </w:rPr>
        <w:t xml:space="preserve">age or invalidity pensions </w:t>
      </w:r>
      <w:r w:rsidR="00E319E1">
        <w:rPr>
          <w:rFonts w:cs="Arial"/>
          <w:lang w:val="en-US"/>
        </w:rPr>
        <w:t>'Insured person'</w:t>
      </w:r>
      <w:r w:rsidRPr="002E7B2B">
        <w:rPr>
          <w:rFonts w:cs="Arial"/>
          <w:lang w:val="en-US"/>
        </w:rPr>
        <w:t xml:space="preserve"> is the same as the claimant, which means that no separate information on the </w:t>
      </w:r>
      <w:r w:rsidR="001C546B">
        <w:rPr>
          <w:rFonts w:cs="Arial"/>
          <w:lang w:val="en-US"/>
        </w:rPr>
        <w:t xml:space="preserve">section </w:t>
      </w:r>
      <w:r w:rsidR="00E319E1">
        <w:rPr>
          <w:rFonts w:cs="Arial"/>
          <w:lang w:val="en-US"/>
        </w:rPr>
        <w:t>'C</w:t>
      </w:r>
      <w:r w:rsidRPr="002E7B2B">
        <w:rPr>
          <w:rFonts w:cs="Arial"/>
          <w:lang w:val="en-US"/>
        </w:rPr>
        <w:t>laimant</w:t>
      </w:r>
      <w:r w:rsidR="00E319E1">
        <w:rPr>
          <w:rFonts w:cs="Arial"/>
          <w:lang w:val="en-US"/>
        </w:rPr>
        <w:t>'</w:t>
      </w:r>
      <w:r w:rsidRPr="002E7B2B">
        <w:rPr>
          <w:rFonts w:cs="Arial"/>
          <w:lang w:val="en-US"/>
        </w:rPr>
        <w:t xml:space="preserve"> needs to be provided. However, in case of a survivor’s pension decision, the information on the claimant must always be filled in separately.</w:t>
      </w:r>
    </w:p>
    <w:p w:rsidR="002846A4" w:rsidRDefault="002846A4" w:rsidP="00431CB0">
      <w:pPr>
        <w:spacing w:after="0"/>
      </w:pPr>
      <w:r>
        <w:t xml:space="preserve">All relevant information regarding the </w:t>
      </w:r>
      <w:r w:rsidR="009B241C">
        <w:t xml:space="preserve">current </w:t>
      </w:r>
      <w:r>
        <w:t>pension decision is divided in 3 sections:</w:t>
      </w:r>
    </w:p>
    <w:p w:rsidR="002846A4" w:rsidRPr="00431CB0" w:rsidRDefault="002846A4" w:rsidP="00431CB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</w:rPr>
      </w:pPr>
      <w:r w:rsidRPr="00431CB0">
        <w:rPr>
          <w:rFonts w:ascii="Calibri" w:hAnsi="Calibri"/>
          <w:sz w:val="22"/>
        </w:rPr>
        <w:t xml:space="preserve">Section </w:t>
      </w:r>
      <w:r w:rsidR="00C95DC6">
        <w:rPr>
          <w:rFonts w:ascii="Calibri" w:hAnsi="Calibri"/>
          <w:sz w:val="22"/>
        </w:rPr>
        <w:t>4</w:t>
      </w:r>
      <w:r w:rsidR="00C95DC6" w:rsidRPr="00431CB0">
        <w:rPr>
          <w:rFonts w:ascii="Calibri" w:hAnsi="Calibri"/>
          <w:sz w:val="22"/>
        </w:rPr>
        <w:t xml:space="preserve"> </w:t>
      </w:r>
      <w:r w:rsidRPr="00431CB0">
        <w:rPr>
          <w:rFonts w:ascii="Calibri" w:hAnsi="Calibri"/>
          <w:sz w:val="22"/>
        </w:rPr>
        <w:t>- Decision</w:t>
      </w:r>
      <w:r w:rsidR="00652C51">
        <w:rPr>
          <w:rFonts w:ascii="Calibri" w:hAnsi="Calibri"/>
          <w:sz w:val="22"/>
        </w:rPr>
        <w:t>s</w:t>
      </w:r>
      <w:r w:rsidRPr="00431CB0">
        <w:rPr>
          <w:rFonts w:ascii="Calibri" w:hAnsi="Calibri"/>
          <w:sz w:val="22"/>
        </w:rPr>
        <w:t xml:space="preserve">; contains information on the type of pension, the type of decision, articles which provide the legal basis of awarding the pension, details of the amount and payment, </w:t>
      </w:r>
      <w:r w:rsidR="00E319E1">
        <w:rPr>
          <w:rFonts w:ascii="Calibri" w:hAnsi="Calibri"/>
          <w:sz w:val="22"/>
        </w:rPr>
        <w:t xml:space="preserve">as well as the </w:t>
      </w:r>
      <w:r w:rsidRPr="00431CB0">
        <w:rPr>
          <w:rFonts w:ascii="Calibri" w:hAnsi="Calibri"/>
          <w:sz w:val="22"/>
        </w:rPr>
        <w:t xml:space="preserve">reasons for rejecting a claim. Details of payment may be repeated as many times as necessary if the amount of </w:t>
      </w:r>
      <w:r w:rsidR="00E319E1">
        <w:rPr>
          <w:rFonts w:ascii="Calibri" w:hAnsi="Calibri"/>
          <w:sz w:val="22"/>
        </w:rPr>
        <w:t xml:space="preserve">the </w:t>
      </w:r>
      <w:r w:rsidRPr="00431CB0">
        <w:rPr>
          <w:rFonts w:ascii="Calibri" w:hAnsi="Calibri"/>
          <w:sz w:val="22"/>
        </w:rPr>
        <w:t>pension has changed.</w:t>
      </w:r>
    </w:p>
    <w:p w:rsidR="002846A4" w:rsidRPr="00431CB0" w:rsidRDefault="002846A4" w:rsidP="00431CB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</w:rPr>
      </w:pPr>
      <w:r w:rsidRPr="00431CB0">
        <w:rPr>
          <w:rFonts w:ascii="Calibri" w:hAnsi="Calibri"/>
          <w:sz w:val="22"/>
        </w:rPr>
        <w:t xml:space="preserve">Section </w:t>
      </w:r>
      <w:r w:rsidR="00C95DC6">
        <w:rPr>
          <w:rFonts w:ascii="Calibri" w:hAnsi="Calibri"/>
          <w:sz w:val="22"/>
        </w:rPr>
        <w:t>5</w:t>
      </w:r>
      <w:r w:rsidRPr="00431CB0">
        <w:rPr>
          <w:rFonts w:ascii="Calibri" w:hAnsi="Calibri"/>
          <w:sz w:val="22"/>
        </w:rPr>
        <w:t xml:space="preserve"> - Reductions; contains information on possible reductions that may have been applied, their legal basis as well as information on rules of overlapping</w:t>
      </w:r>
      <w:r w:rsidR="00E319E1">
        <w:rPr>
          <w:rFonts w:ascii="Calibri" w:hAnsi="Calibri"/>
          <w:sz w:val="22"/>
        </w:rPr>
        <w:t>.</w:t>
      </w:r>
    </w:p>
    <w:p w:rsidR="002846A4" w:rsidRPr="00431CB0" w:rsidRDefault="002846A4" w:rsidP="00431CB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2"/>
          <w:szCs w:val="22"/>
        </w:rPr>
      </w:pPr>
      <w:r w:rsidRPr="00431CB0">
        <w:rPr>
          <w:rFonts w:ascii="Calibri" w:hAnsi="Calibri"/>
          <w:sz w:val="22"/>
        </w:rPr>
        <w:t xml:space="preserve">Section </w:t>
      </w:r>
      <w:r w:rsidR="00C95DC6">
        <w:rPr>
          <w:rFonts w:ascii="Calibri" w:hAnsi="Calibri"/>
          <w:sz w:val="22"/>
        </w:rPr>
        <w:t>6</w:t>
      </w:r>
      <w:r w:rsidRPr="00431CB0">
        <w:rPr>
          <w:rFonts w:ascii="Calibri" w:hAnsi="Calibri"/>
          <w:sz w:val="22"/>
        </w:rPr>
        <w:t xml:space="preserve"> - Additional information on the decision; contains information on various other </w:t>
      </w:r>
      <w:r w:rsidRPr="00431CB0">
        <w:rPr>
          <w:rFonts w:ascii="Calibri" w:hAnsi="Calibri"/>
          <w:sz w:val="22"/>
          <w:szCs w:val="22"/>
        </w:rPr>
        <w:t>relevant issues, e.g. the right of review.</w:t>
      </w:r>
    </w:p>
    <w:p w:rsidR="002A0602" w:rsidRDefault="00C43B88" w:rsidP="002A0602">
      <w:pPr>
        <w:spacing w:before="120" w:after="240"/>
        <w:jc w:val="both"/>
      </w:pPr>
      <w:r>
        <w:t>The Portable D</w:t>
      </w:r>
      <w:r w:rsidR="00C262FA">
        <w:t xml:space="preserve">ocument P1 </w:t>
      </w:r>
      <w:r w:rsidR="002846A4" w:rsidRPr="00431CB0">
        <w:t xml:space="preserve">is filled in by the contact institution on the basis of the </w:t>
      </w:r>
      <w:r w:rsidR="00202648">
        <w:t xml:space="preserve">final </w:t>
      </w:r>
      <w:r w:rsidR="002846A4" w:rsidRPr="00431CB0">
        <w:t xml:space="preserve">information given in </w:t>
      </w:r>
      <w:r w:rsidR="009C733F">
        <w:t xml:space="preserve">SED </w:t>
      </w:r>
      <w:r w:rsidR="002846A4" w:rsidRPr="00431CB0">
        <w:t xml:space="preserve">P6000. Therefore, it is important to notice that even though information is not marked “mandatory” in </w:t>
      </w:r>
      <w:r w:rsidR="009C733F">
        <w:t xml:space="preserve">SED </w:t>
      </w:r>
      <w:r w:rsidR="002846A4" w:rsidRPr="00431CB0">
        <w:t xml:space="preserve">P6000, institutions are advised to share all information </w:t>
      </w:r>
      <w:r w:rsidR="00E319E1">
        <w:t>in their possession</w:t>
      </w:r>
      <w:r w:rsidR="002846A4" w:rsidRPr="00431CB0">
        <w:t xml:space="preserve"> on the </w:t>
      </w:r>
      <w:r w:rsidR="009C733F">
        <w:t xml:space="preserve">SED </w:t>
      </w:r>
      <w:r w:rsidR="002846A4" w:rsidRPr="00431CB0">
        <w:t xml:space="preserve">P6000. </w:t>
      </w:r>
      <w:r w:rsidR="00805904">
        <w:t xml:space="preserve">Contact institution must receive at least one final SED P6000 </w:t>
      </w:r>
      <w:r w:rsidR="002A0602">
        <w:rPr>
          <w:rFonts w:cs="Calibri"/>
          <w:color w:val="000000"/>
        </w:rPr>
        <w:t>or other equivalent information</w:t>
      </w:r>
      <w:r w:rsidR="002A0602">
        <w:t xml:space="preserve"> from each institution concerned to fill in SED P7000.</w:t>
      </w:r>
    </w:p>
    <w:p w:rsidR="00D45F99" w:rsidRPr="00227A47" w:rsidRDefault="00431CB0" w:rsidP="002A0602">
      <w:pPr>
        <w:spacing w:before="120" w:after="240"/>
        <w:jc w:val="both"/>
        <w:rPr>
          <w:u w:val="single"/>
        </w:rPr>
      </w:pPr>
      <w:r w:rsidRPr="00431CB0">
        <w:rPr>
          <w:rFonts w:cs="Arial"/>
        </w:rPr>
        <w:t xml:space="preserve">In order to see the content and explanatory notes of the SED P6000 please click </w:t>
      </w:r>
      <w:hyperlink r:id="rId8" w:history="1">
        <w:r w:rsidRPr="00431CB0">
          <w:rPr>
            <w:rStyle w:val="Hyperlink"/>
          </w:rPr>
          <w:t>here</w:t>
        </w:r>
      </w:hyperlink>
    </w:p>
    <w:sectPr w:rsidR="00D45F99" w:rsidRPr="00227A47" w:rsidSect="00B359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F0D"/>
    <w:multiLevelType w:val="hybridMultilevel"/>
    <w:tmpl w:val="EBB8B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73A"/>
    <w:multiLevelType w:val="hybridMultilevel"/>
    <w:tmpl w:val="C9B0E68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E4009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16"/>
        <w:szCs w:val="16"/>
      </w:rPr>
    </w:lvl>
    <w:lvl w:ilvl="2" w:tplc="0C07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DA60704"/>
    <w:multiLevelType w:val="hybridMultilevel"/>
    <w:tmpl w:val="C25E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61FE8"/>
    <w:multiLevelType w:val="hybridMultilevel"/>
    <w:tmpl w:val="DB2CDBD4"/>
    <w:lvl w:ilvl="0" w:tplc="D9AE6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7756EA"/>
    <w:multiLevelType w:val="hybridMultilevel"/>
    <w:tmpl w:val="13B42118"/>
    <w:lvl w:ilvl="0" w:tplc="E90063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846A4"/>
    <w:rsid w:val="00027AC0"/>
    <w:rsid w:val="00061D74"/>
    <w:rsid w:val="001657B7"/>
    <w:rsid w:val="001804D2"/>
    <w:rsid w:val="001A71D1"/>
    <w:rsid w:val="001C546B"/>
    <w:rsid w:val="001D4476"/>
    <w:rsid w:val="001D6C4F"/>
    <w:rsid w:val="00202648"/>
    <w:rsid w:val="00221758"/>
    <w:rsid w:val="00227A47"/>
    <w:rsid w:val="00243A50"/>
    <w:rsid w:val="00251C78"/>
    <w:rsid w:val="002846A4"/>
    <w:rsid w:val="002A0602"/>
    <w:rsid w:val="002B0824"/>
    <w:rsid w:val="00431CB0"/>
    <w:rsid w:val="004A6530"/>
    <w:rsid w:val="004F4A5A"/>
    <w:rsid w:val="00506D1E"/>
    <w:rsid w:val="00520EC4"/>
    <w:rsid w:val="00624A07"/>
    <w:rsid w:val="00652C51"/>
    <w:rsid w:val="006A7B9E"/>
    <w:rsid w:val="00796C4B"/>
    <w:rsid w:val="00805904"/>
    <w:rsid w:val="009B241C"/>
    <w:rsid w:val="009C733F"/>
    <w:rsid w:val="00A754A0"/>
    <w:rsid w:val="00AF50F5"/>
    <w:rsid w:val="00B35910"/>
    <w:rsid w:val="00BB579C"/>
    <w:rsid w:val="00BE000C"/>
    <w:rsid w:val="00C262FA"/>
    <w:rsid w:val="00C43B88"/>
    <w:rsid w:val="00C52DFE"/>
    <w:rsid w:val="00C5577D"/>
    <w:rsid w:val="00C7322B"/>
    <w:rsid w:val="00C75A00"/>
    <w:rsid w:val="00C95DC6"/>
    <w:rsid w:val="00D0328B"/>
    <w:rsid w:val="00D3381D"/>
    <w:rsid w:val="00D45F99"/>
    <w:rsid w:val="00D7193B"/>
    <w:rsid w:val="00DF0145"/>
    <w:rsid w:val="00E30DC7"/>
    <w:rsid w:val="00E319E1"/>
    <w:rsid w:val="00E41EBF"/>
    <w:rsid w:val="00F75482"/>
    <w:rsid w:val="00FB48E6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2846A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846A4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2846A4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2846A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paragraph" w:styleId="ListParagraph">
    <w:name w:val="List Paragraph"/>
    <w:basedOn w:val="Normal"/>
    <w:uiPriority w:val="34"/>
    <w:qFormat/>
    <w:rsid w:val="002846A4"/>
    <w:pPr>
      <w:spacing w:after="0" w:line="240" w:lineRule="auto"/>
      <w:ind w:left="720"/>
      <w:contextualSpacing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styleId="Hyperlink">
    <w:name w:val="Hyperlink"/>
    <w:uiPriority w:val="99"/>
    <w:unhideWhenUsed/>
    <w:rsid w:val="00520EC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1CB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546B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2846A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846A4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2846A4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2846A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paragraph" w:styleId="ListParagraph">
    <w:name w:val="List Paragraph"/>
    <w:basedOn w:val="Normal"/>
    <w:uiPriority w:val="34"/>
    <w:qFormat/>
    <w:rsid w:val="002846A4"/>
    <w:pPr>
      <w:spacing w:after="0" w:line="240" w:lineRule="auto"/>
      <w:ind w:left="720"/>
      <w:contextualSpacing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styleId="Hyperlink">
    <w:name w:val="Hyperlink"/>
    <w:uiPriority w:val="99"/>
    <w:unhideWhenUsed/>
    <w:rsid w:val="00520EC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1CB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546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Forms/P6000_en.htm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../P7000/P7000.docx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PDs/PD_P1.docx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E03BAF6-9F0B-4028-8C47-05EDF3DA0BA9}"/>
</file>

<file path=customXml/itemProps2.xml><?xml version="1.0" encoding="utf-8"?>
<ds:datastoreItem xmlns:ds="http://schemas.openxmlformats.org/officeDocument/2006/customXml" ds:itemID="{A6D2E1E5-FDB2-4971-BF5B-4A5D589724C4}"/>
</file>

<file path=customXml/itemProps3.xml><?xml version="1.0" encoding="utf-8"?>
<ds:datastoreItem xmlns:ds="http://schemas.openxmlformats.org/officeDocument/2006/customXml" ds:itemID="{0496026A-764E-46DB-BC06-1EB8442D0A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2565</CharactersWithSpaces>
  <SharedDoc>false</SharedDoc>
  <HLinks>
    <vt:vector size="18" baseType="variant">
      <vt:variant>
        <vt:i4>4456575</vt:i4>
      </vt:variant>
      <vt:variant>
        <vt:i4>6</vt:i4>
      </vt:variant>
      <vt:variant>
        <vt:i4>0</vt:i4>
      </vt:variant>
      <vt:variant>
        <vt:i4>5</vt:i4>
      </vt:variant>
      <vt:variant>
        <vt:lpwstr>P_BUC_Guidelines/P_BUC_Guidelines/Pension/SEDs/Forms/P6000_en.htm</vt:lpwstr>
      </vt:variant>
      <vt:variant>
        <vt:lpwstr/>
      </vt:variant>
      <vt:variant>
        <vt:i4>1769547</vt:i4>
      </vt:variant>
      <vt:variant>
        <vt:i4>3</vt:i4>
      </vt:variant>
      <vt:variant>
        <vt:i4>0</vt:i4>
      </vt:variant>
      <vt:variant>
        <vt:i4>5</vt:i4>
      </vt:variant>
      <vt:variant>
        <vt:lpwstr>P_BUC_Guidelines/P_BUC_Guidelines/Pension/SEDs/P7000.doc</vt:lpwstr>
      </vt:variant>
      <vt:variant>
        <vt:lpwstr/>
      </vt:variant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P_BUC_Guidelines/P_BUC_Guidelines/Pension/PDs/PDP1.pdf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P6000</dc:title>
  <dc:creator/>
  <cp:lastModifiedBy>ALECSANDRESCU Adriana-Madalina (EMPL-EXT)</cp:lastModifiedBy>
  <cp:revision>26</cp:revision>
  <dcterms:created xsi:type="dcterms:W3CDTF">2017-05-15T13:15:00Z</dcterms:created>
  <dcterms:modified xsi:type="dcterms:W3CDTF">2017-12-01T10:32:00Z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