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lenraster18"/>
        <w:tblW w:w="10065" w:type="dxa"/>
        <w:tblInd w:w="-318" w:type="dxa"/>
        <w:tblLook w:val="04A0" w:firstRow="1" w:lastRow="0" w:firstColumn="1" w:lastColumn="0" w:noHBand="0" w:noVBand="1"/>
      </w:tblPr>
      <w:tblGrid>
        <w:gridCol w:w="10065"/>
      </w:tblGrid>
      <w:tr w:rsidR="003974FE" w:rsidRPr="00EC0865" w14:paraId="3195B336" w14:textId="77777777" w:rsidTr="003974FE">
        <w:tc>
          <w:tcPr>
            <w:tcW w:w="10065" w:type="dxa"/>
            <w:shd w:val="clear" w:color="auto" w:fill="BFBFBF"/>
          </w:tcPr>
          <w:p w14:paraId="0B21FA8D" w14:textId="77777777" w:rsidR="003974FE" w:rsidRPr="003974FE" w:rsidRDefault="003974FE" w:rsidP="003974FE">
            <w:pPr>
              <w:jc w:val="center"/>
              <w:rPr>
                <w:rFonts w:ascii="Calibri" w:eastAsia="Calibri" w:hAnsi="Calibri" w:cs="Calibri"/>
                <w:b/>
              </w:rPr>
            </w:pPr>
            <w:bookmarkStart w:id="0" w:name="AD_BUC_10_Sub"/>
            <w:bookmarkStart w:id="1" w:name="_GoBack"/>
            <w:bookmarkEnd w:id="1"/>
            <w:r w:rsidRPr="003974FE">
              <w:rPr>
                <w:rFonts w:ascii="Calibri" w:eastAsia="Calibri" w:hAnsi="Calibri" w:cs="Calibri"/>
                <w:b/>
              </w:rPr>
              <w:t>How do I update the information in a SED that I have already sent?</w:t>
            </w:r>
            <w:bookmarkEnd w:id="0"/>
          </w:p>
        </w:tc>
      </w:tr>
      <w:tr w:rsidR="003974FE" w:rsidRPr="00EC0865" w14:paraId="0EE2AA29" w14:textId="77777777" w:rsidTr="0077040A">
        <w:tc>
          <w:tcPr>
            <w:tcW w:w="10065" w:type="dxa"/>
          </w:tcPr>
          <w:p w14:paraId="5708FD1A" w14:textId="232F1FC4" w:rsidR="003974FE" w:rsidRPr="003974FE" w:rsidRDefault="003974FE" w:rsidP="003974FE">
            <w:pPr>
              <w:jc w:val="center"/>
              <w:rPr>
                <w:rFonts w:ascii="Calibri" w:eastAsia="Calibri" w:hAnsi="Calibri" w:cs="Calibri"/>
              </w:rPr>
            </w:pPr>
            <w:r w:rsidRPr="003974FE">
              <w:rPr>
                <w:rFonts w:ascii="Calibri" w:eastAsia="Calibri" w:hAnsi="Calibri" w:cs="Calibri"/>
                <w:b/>
              </w:rPr>
              <w:t>AD_BUC_10_Sub</w:t>
            </w:r>
            <w:r w:rsidR="00450578">
              <w:rPr>
                <w:rFonts w:ascii="Calibri" w:eastAsia="Calibri" w:hAnsi="Calibri" w:cs="Calibri"/>
                <w:b/>
              </w:rPr>
              <w:t>process</w:t>
            </w:r>
            <w:r w:rsidRPr="003974FE">
              <w:rPr>
                <w:rFonts w:ascii="Calibri" w:eastAsia="Calibri" w:hAnsi="Calibri" w:cs="Calibri"/>
                <w:b/>
              </w:rPr>
              <w:t>: Update SED</w:t>
            </w:r>
          </w:p>
        </w:tc>
      </w:tr>
      <w:tr w:rsidR="003974FE" w:rsidRPr="00EC0865" w14:paraId="1C5FEA76" w14:textId="77777777" w:rsidTr="00CB7D33">
        <w:trPr>
          <w:trHeight w:val="10908"/>
        </w:trPr>
        <w:tc>
          <w:tcPr>
            <w:tcW w:w="10065" w:type="dxa"/>
          </w:tcPr>
          <w:p w14:paraId="4D7A7F21" w14:textId="77777777" w:rsidR="00D006FD" w:rsidRPr="00DB0A0D" w:rsidRDefault="00D006FD" w:rsidP="00D006FD">
            <w:pPr>
              <w:jc w:val="both"/>
              <w:rPr>
                <w:rFonts w:ascii="Calibri" w:eastAsia="Calibri" w:hAnsi="Calibri" w:cs="Calibri"/>
                <w:b/>
                <w:u w:val="single"/>
              </w:rPr>
            </w:pPr>
            <w:r w:rsidRPr="00DB0A0D">
              <w:rPr>
                <w:rFonts w:ascii="Calibri" w:eastAsia="Calibri" w:hAnsi="Calibri" w:cs="Calibri"/>
                <w:b/>
                <w:u w:val="single"/>
              </w:rPr>
              <w:t>Description:</w:t>
            </w:r>
          </w:p>
          <w:p w14:paraId="0F867445" w14:textId="76D9A262" w:rsidR="00D006FD" w:rsidRDefault="00D006FD" w:rsidP="008E64A4">
            <w:pPr>
              <w:spacing w:after="120"/>
              <w:jc w:val="both"/>
              <w:rPr>
                <w:rFonts w:ascii="Calibri" w:eastAsia="Calibri" w:hAnsi="Calibri" w:cs="Calibri"/>
              </w:rPr>
            </w:pPr>
            <w:r>
              <w:rPr>
                <w:rFonts w:ascii="Calibri" w:eastAsia="Calibri" w:hAnsi="Calibri" w:cs="Calibri"/>
              </w:rPr>
              <w:t>The Administrative sub-process 'Update SED' is used in a situation when a</w:t>
            </w:r>
            <w:r w:rsidR="003974FE" w:rsidRPr="003974FE">
              <w:rPr>
                <w:rFonts w:ascii="Calibri" w:eastAsia="Calibri" w:hAnsi="Calibri" w:cs="Calibri"/>
              </w:rPr>
              <w:t xml:space="preserve">fter sending a SED, you </w:t>
            </w:r>
            <w:r>
              <w:rPr>
                <w:rFonts w:ascii="Calibri" w:eastAsia="Calibri" w:hAnsi="Calibri" w:cs="Calibri"/>
              </w:rPr>
              <w:t>have</w:t>
            </w:r>
            <w:r w:rsidR="003974FE" w:rsidRPr="003974FE">
              <w:rPr>
                <w:rFonts w:ascii="Calibri" w:eastAsia="Calibri" w:hAnsi="Calibri" w:cs="Calibri"/>
              </w:rPr>
              <w:t xml:space="preserve"> discover that you need to send an updated version of your SED which communicates corrected or additional information to the recipient. </w:t>
            </w:r>
          </w:p>
          <w:p w14:paraId="34272F25" w14:textId="5E485B22" w:rsidR="00D006FD" w:rsidRDefault="00D006FD" w:rsidP="003974FE">
            <w:pPr>
              <w:jc w:val="both"/>
              <w:rPr>
                <w:rFonts w:ascii="Calibri" w:eastAsia="Calibri" w:hAnsi="Calibri" w:cs="Calibri"/>
              </w:rPr>
            </w:pPr>
            <w:r>
              <w:rPr>
                <w:rFonts w:ascii="Calibri" w:eastAsia="Calibri" w:hAnsi="Calibri" w:cs="Calibri"/>
              </w:rPr>
              <w:t>Precondition for using this sub-process is that the SED type allows it to be updated.</w:t>
            </w:r>
          </w:p>
          <w:p w14:paraId="3E22F49E" w14:textId="77777777" w:rsidR="00AA4ADE" w:rsidRDefault="00AA4ADE" w:rsidP="003360D1">
            <w:pPr>
              <w:spacing w:before="120"/>
              <w:jc w:val="both"/>
              <w:rPr>
                <w:rFonts w:ascii="Calibri" w:eastAsia="Calibri" w:hAnsi="Calibri" w:cs="Calibri"/>
              </w:rPr>
            </w:pPr>
            <w:r w:rsidRPr="00AA4ADE">
              <w:rPr>
                <w:rFonts w:ascii="Calibri" w:eastAsia="Calibri" w:hAnsi="Calibri" w:cs="Calibri"/>
              </w:rPr>
              <w:t>There are no restrictions regarding the situations in which sub-process 'Update</w:t>
            </w:r>
            <w:r>
              <w:rPr>
                <w:rFonts w:ascii="Calibri" w:eastAsia="Calibri" w:hAnsi="Calibri" w:cs="Calibri"/>
              </w:rPr>
              <w:t xml:space="preserve"> SED</w:t>
            </w:r>
            <w:r w:rsidRPr="00AA4ADE">
              <w:rPr>
                <w:rFonts w:ascii="Calibri" w:eastAsia="Calibri" w:hAnsi="Calibri" w:cs="Calibri"/>
              </w:rPr>
              <w:t xml:space="preserve">' can be used, however, there are more simple and more complex possible scenarios: </w:t>
            </w:r>
          </w:p>
          <w:p w14:paraId="104BB84F" w14:textId="07AFACB0" w:rsidR="00AA4ADE" w:rsidRPr="00AA4ADE" w:rsidRDefault="00AA4ADE" w:rsidP="00AA4ADE">
            <w:pPr>
              <w:jc w:val="both"/>
              <w:rPr>
                <w:rFonts w:ascii="Calibri" w:eastAsia="Calibri" w:hAnsi="Calibri" w:cs="Calibri"/>
              </w:rPr>
            </w:pPr>
            <w:r w:rsidRPr="00AA4ADE">
              <w:rPr>
                <w:rFonts w:ascii="Calibri" w:eastAsia="Calibri" w:hAnsi="Calibri" w:cs="Calibri"/>
              </w:rPr>
              <w:t>A simple example: one SED update could correct a misspelling in a non-critical area. As a result, the process is not affected and can continue without doing anything</w:t>
            </w:r>
          </w:p>
          <w:p w14:paraId="43EA762E" w14:textId="77777777" w:rsidR="00AA4ADE" w:rsidRDefault="00AA4ADE" w:rsidP="00AA4ADE">
            <w:pPr>
              <w:jc w:val="both"/>
              <w:rPr>
                <w:rFonts w:ascii="Calibri" w:eastAsia="Calibri" w:hAnsi="Calibri" w:cs="Calibri"/>
              </w:rPr>
            </w:pPr>
            <w:r w:rsidRPr="00AA4ADE">
              <w:rPr>
                <w:rFonts w:ascii="Calibri" w:eastAsia="Calibri" w:hAnsi="Calibri" w:cs="Calibri"/>
              </w:rPr>
              <w:t>A complex example: the Case Owner corrects the PIN of the citizen after the Counterparty started processing the claim. This will have larger implications. Considering that the mistake can be spotted even after financial exchanges took place, this can result in a wide range of results, ranging from national corrections to related Recovery processes being started.</w:t>
            </w:r>
          </w:p>
          <w:p w14:paraId="6C040EF7" w14:textId="1F2E6AC5" w:rsidR="00AA4ADE" w:rsidRDefault="00AA4ADE" w:rsidP="003360D1">
            <w:pPr>
              <w:spacing w:before="120"/>
              <w:jc w:val="both"/>
              <w:rPr>
                <w:rFonts w:ascii="Calibri" w:eastAsia="Calibri" w:hAnsi="Calibri" w:cs="Calibri"/>
              </w:rPr>
            </w:pPr>
            <w:r>
              <w:rPr>
                <w:rFonts w:ascii="Calibri" w:eastAsia="Calibri" w:hAnsi="Calibri" w:cs="Calibri"/>
              </w:rPr>
              <w:t>S</w:t>
            </w:r>
            <w:r w:rsidRPr="00AA4ADE">
              <w:rPr>
                <w:rFonts w:ascii="Calibri" w:eastAsia="Calibri" w:hAnsi="Calibri" w:cs="Calibri"/>
              </w:rPr>
              <w:t>ituations</w:t>
            </w:r>
            <w:r>
              <w:rPr>
                <w:rFonts w:ascii="Calibri" w:eastAsia="Calibri" w:hAnsi="Calibri" w:cs="Calibri"/>
              </w:rPr>
              <w:t xml:space="preserve"> where an update is necessary</w:t>
            </w:r>
            <w:r w:rsidRPr="00AA4ADE">
              <w:rPr>
                <w:rFonts w:ascii="Calibri" w:eastAsia="Calibri" w:hAnsi="Calibri" w:cs="Calibri"/>
              </w:rPr>
              <w:t xml:space="preserve"> should be treated on case by case basis, involving clerks assessing the situation and taking a decision on how to go forward.</w:t>
            </w:r>
          </w:p>
          <w:p w14:paraId="5719B95C" w14:textId="77777777" w:rsidR="00D006FD" w:rsidRDefault="00D006FD" w:rsidP="003360D1">
            <w:pPr>
              <w:spacing w:before="120"/>
              <w:jc w:val="both"/>
              <w:rPr>
                <w:rFonts w:ascii="Calibri" w:eastAsia="Calibri" w:hAnsi="Calibri" w:cs="Calibri"/>
                <w:b/>
                <w:u w:val="single"/>
              </w:rPr>
            </w:pPr>
            <w:r w:rsidRPr="00FB42F7">
              <w:rPr>
                <w:rFonts w:ascii="Calibri" w:eastAsia="Calibri" w:hAnsi="Calibri" w:cs="Calibri"/>
                <w:b/>
                <w:u w:val="single"/>
              </w:rPr>
              <w:t>Legal Base:</w:t>
            </w:r>
          </w:p>
          <w:p w14:paraId="6F2A1F8E" w14:textId="08DB5001" w:rsidR="00C406BB" w:rsidRPr="00C406BB" w:rsidRDefault="00C406BB" w:rsidP="00C406BB">
            <w:pPr>
              <w:jc w:val="both"/>
              <w:rPr>
                <w:rFonts w:ascii="Calibri" w:eastAsia="Calibri" w:hAnsi="Calibri" w:cs="Calibri"/>
              </w:rPr>
            </w:pPr>
            <w:r>
              <w:rPr>
                <w:rFonts w:ascii="Calibri" w:eastAsia="Calibri" w:hAnsi="Calibri" w:cs="Calibri"/>
              </w:rPr>
              <w:t>The l</w:t>
            </w:r>
            <w:r w:rsidRPr="00C406BB">
              <w:rPr>
                <w:rFonts w:ascii="Calibri" w:eastAsia="Calibri" w:hAnsi="Calibri" w:cs="Calibri"/>
              </w:rPr>
              <w:t>egal base</w:t>
            </w:r>
            <w:r>
              <w:rPr>
                <w:rFonts w:ascii="Calibri" w:eastAsia="Calibri" w:hAnsi="Calibri" w:cs="Calibri"/>
              </w:rPr>
              <w:t xml:space="preserve"> of this sub-process</w:t>
            </w:r>
            <w:r w:rsidRPr="00C406BB">
              <w:rPr>
                <w:rFonts w:ascii="Calibri" w:eastAsia="Calibri" w:hAnsi="Calibri" w:cs="Calibri"/>
              </w:rPr>
              <w:t xml:space="preserve"> is found in the following EC Regulations:</w:t>
            </w:r>
          </w:p>
          <w:p w14:paraId="3E0988B1" w14:textId="05443569" w:rsidR="00C406BB" w:rsidRPr="00C406BB" w:rsidRDefault="008E64A4" w:rsidP="00C406BB">
            <w:pPr>
              <w:jc w:val="both"/>
              <w:rPr>
                <w:rFonts w:ascii="Calibri" w:eastAsia="Calibri" w:hAnsi="Calibri" w:cs="Calibri"/>
              </w:rPr>
            </w:pPr>
            <w:r>
              <w:rPr>
                <w:rFonts w:ascii="Calibri" w:eastAsia="Calibri" w:hAnsi="Calibri" w:cs="Calibri"/>
              </w:rPr>
              <w:t xml:space="preserve">1. </w:t>
            </w:r>
            <w:r w:rsidR="00C406BB">
              <w:rPr>
                <w:rFonts w:ascii="Calibri" w:eastAsia="Calibri" w:hAnsi="Calibri" w:cs="Calibri"/>
              </w:rPr>
              <w:t>B</w:t>
            </w:r>
            <w:r w:rsidR="00C406BB" w:rsidRPr="00C406BB">
              <w:rPr>
                <w:rFonts w:ascii="Calibri" w:eastAsia="Calibri" w:hAnsi="Calibri" w:cs="Calibri"/>
              </w:rPr>
              <w:t xml:space="preserve">asic Regulation (EC) No 883/2004 </w:t>
            </w:r>
          </w:p>
          <w:p w14:paraId="10E8E839" w14:textId="47FC41EF" w:rsidR="00D006FD" w:rsidRDefault="008E64A4" w:rsidP="00C406BB">
            <w:pPr>
              <w:jc w:val="both"/>
              <w:rPr>
                <w:rFonts w:ascii="Calibri" w:eastAsia="Calibri" w:hAnsi="Calibri" w:cs="Calibri"/>
              </w:rPr>
            </w:pPr>
            <w:r>
              <w:rPr>
                <w:rFonts w:ascii="Calibri" w:eastAsia="Calibri" w:hAnsi="Calibri" w:cs="Calibri"/>
              </w:rPr>
              <w:t xml:space="preserve">2. </w:t>
            </w:r>
            <w:r w:rsidR="00C406BB">
              <w:rPr>
                <w:rFonts w:ascii="Calibri" w:eastAsia="Calibri" w:hAnsi="Calibri" w:cs="Calibri"/>
              </w:rPr>
              <w:t>I</w:t>
            </w:r>
            <w:r w:rsidR="00C406BB" w:rsidRPr="00C406BB">
              <w:rPr>
                <w:rFonts w:ascii="Calibri" w:eastAsia="Calibri" w:hAnsi="Calibri" w:cs="Calibri"/>
              </w:rPr>
              <w:t>mplementing Regulation (EC) No 987/2009</w:t>
            </w:r>
          </w:p>
          <w:p w14:paraId="52219877" w14:textId="61E25C7F" w:rsidR="00D006FD" w:rsidRPr="008E64A4" w:rsidRDefault="00D006FD" w:rsidP="003360D1">
            <w:pPr>
              <w:spacing w:before="120" w:after="120"/>
              <w:jc w:val="both"/>
              <w:rPr>
                <w:rFonts w:ascii="Calibri" w:eastAsia="Calibri" w:hAnsi="Calibri" w:cs="Calibri"/>
                <w:b/>
                <w:u w:val="single"/>
                <w:lang w:val="en-US"/>
              </w:rPr>
            </w:pPr>
            <w:r w:rsidRPr="008C2801">
              <w:rPr>
                <w:rFonts w:ascii="Calibri" w:eastAsia="Calibri" w:hAnsi="Calibri" w:cs="Calibri"/>
                <w:b/>
                <w:u w:val="single"/>
                <w:lang w:val="en-US"/>
              </w:rPr>
              <w:t>Glossary of relevant terms used in AD_BUC_</w:t>
            </w:r>
            <w:r>
              <w:rPr>
                <w:rFonts w:ascii="Calibri" w:eastAsia="Calibri" w:hAnsi="Calibri" w:cs="Calibri"/>
                <w:b/>
                <w:u w:val="single"/>
                <w:lang w:val="en-US"/>
              </w:rPr>
              <w:t>10</w:t>
            </w:r>
            <w:r w:rsidR="00450578">
              <w:rPr>
                <w:rFonts w:ascii="Calibri" w:eastAsia="Calibri" w:hAnsi="Calibri" w:cs="Calibri"/>
                <w:b/>
                <w:u w:val="single"/>
                <w:lang w:val="en-US"/>
              </w:rPr>
              <w:t>_Subprocess</w:t>
            </w:r>
            <w:r>
              <w:rPr>
                <w:rFonts w:ascii="Calibri" w:eastAsia="Calibri" w:hAnsi="Calibri" w:cs="Calibri"/>
                <w:b/>
                <w:u w:val="single"/>
                <w:lang w:val="en-US"/>
              </w:rPr>
              <w:t>:</w:t>
            </w:r>
          </w:p>
          <w:tbl>
            <w:tblPr>
              <w:tblW w:w="0" w:type="auto"/>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8080"/>
            </w:tblGrid>
            <w:tr w:rsidR="00C406BB" w:rsidRPr="008E64A4" w14:paraId="475001C7" w14:textId="77777777" w:rsidTr="00450578">
              <w:tc>
                <w:tcPr>
                  <w:tcW w:w="1560" w:type="dxa"/>
                  <w:shd w:val="clear" w:color="auto" w:fill="C6D9F1"/>
                </w:tcPr>
                <w:p w14:paraId="54142A4C" w14:textId="77777777" w:rsidR="00C406BB" w:rsidRPr="00C406BB" w:rsidRDefault="00C406BB" w:rsidP="003C6D55">
                  <w:pPr>
                    <w:rPr>
                      <w:rFonts w:ascii="Calibri" w:hAnsi="Calibri" w:cs="Calibri"/>
                      <w:b/>
                      <w:sz w:val="22"/>
                      <w:szCs w:val="22"/>
                      <w:lang w:val="en-US"/>
                    </w:rPr>
                  </w:pPr>
                  <w:r w:rsidRPr="00C406BB">
                    <w:rPr>
                      <w:rFonts w:ascii="Calibri" w:hAnsi="Calibri" w:cs="Calibri"/>
                      <w:b/>
                      <w:sz w:val="22"/>
                      <w:szCs w:val="22"/>
                      <w:lang w:val="en-US"/>
                    </w:rPr>
                    <w:t>Actor name</w:t>
                  </w:r>
                </w:p>
              </w:tc>
              <w:tc>
                <w:tcPr>
                  <w:tcW w:w="8080" w:type="dxa"/>
                  <w:shd w:val="clear" w:color="auto" w:fill="C6D9F1"/>
                </w:tcPr>
                <w:p w14:paraId="24A77569" w14:textId="77777777" w:rsidR="00C406BB" w:rsidRPr="00C406BB" w:rsidRDefault="00C406BB" w:rsidP="003C6D55">
                  <w:pPr>
                    <w:rPr>
                      <w:rFonts w:ascii="Calibri" w:hAnsi="Calibri" w:cs="Calibri"/>
                      <w:b/>
                      <w:sz w:val="22"/>
                      <w:szCs w:val="22"/>
                      <w:lang w:val="en-US"/>
                    </w:rPr>
                  </w:pPr>
                  <w:r w:rsidRPr="00C406BB">
                    <w:rPr>
                      <w:rFonts w:ascii="Calibri" w:hAnsi="Calibri" w:cs="Calibri"/>
                      <w:b/>
                      <w:sz w:val="22"/>
                      <w:szCs w:val="22"/>
                      <w:lang w:val="en-US"/>
                    </w:rPr>
                    <w:t>Description</w:t>
                  </w:r>
                </w:p>
              </w:tc>
            </w:tr>
            <w:tr w:rsidR="00450578" w:rsidRPr="00EC0865" w14:paraId="4A9D29E6" w14:textId="77777777" w:rsidTr="00450578">
              <w:tc>
                <w:tcPr>
                  <w:tcW w:w="1560" w:type="dxa"/>
                  <w:shd w:val="clear" w:color="auto" w:fill="auto"/>
                </w:tcPr>
                <w:p w14:paraId="1D845EAF" w14:textId="77777777" w:rsidR="00450578" w:rsidRPr="00C406BB" w:rsidRDefault="00450578" w:rsidP="00024FA4">
                  <w:pPr>
                    <w:rPr>
                      <w:rFonts w:ascii="Calibri" w:hAnsi="Calibri" w:cs="Calibri"/>
                      <w:b/>
                      <w:i/>
                      <w:sz w:val="22"/>
                      <w:szCs w:val="22"/>
                      <w:lang w:val="en-US"/>
                    </w:rPr>
                  </w:pPr>
                  <w:r w:rsidRPr="008D6262">
                    <w:rPr>
                      <w:rFonts w:ascii="Calibri" w:hAnsi="Calibri" w:cs="Calibri"/>
                      <w:b/>
                      <w:i/>
                      <w:sz w:val="22"/>
                      <w:szCs w:val="22"/>
                      <w:lang w:val="en-US"/>
                    </w:rPr>
                    <w:t>Triggering Participant</w:t>
                  </w:r>
                </w:p>
              </w:tc>
              <w:tc>
                <w:tcPr>
                  <w:tcW w:w="8080" w:type="dxa"/>
                  <w:shd w:val="clear" w:color="auto" w:fill="auto"/>
                </w:tcPr>
                <w:p w14:paraId="7A312674" w14:textId="77777777" w:rsidR="00450578" w:rsidRPr="00C406BB" w:rsidRDefault="00450578" w:rsidP="00024FA4">
                  <w:pPr>
                    <w:rPr>
                      <w:rFonts w:ascii="Calibri" w:hAnsi="Calibri" w:cs="Calibri"/>
                      <w:sz w:val="22"/>
                      <w:szCs w:val="22"/>
                      <w:lang w:val="en-US"/>
                    </w:rPr>
                  </w:pPr>
                  <w:r w:rsidRPr="008D6262">
                    <w:rPr>
                      <w:rFonts w:ascii="Calibri" w:hAnsi="Calibri" w:cs="Calibri"/>
                      <w:sz w:val="22"/>
                      <w:szCs w:val="22"/>
                      <w:lang w:val="en-US"/>
                    </w:rPr>
                    <w:t xml:space="preserve">The Triggering Participant </w:t>
                  </w:r>
                  <w:r w:rsidRPr="005920C6">
                    <w:rPr>
                      <w:rFonts w:ascii="Calibri" w:hAnsi="Calibri" w:cs="Calibri"/>
                      <w:sz w:val="22"/>
                      <w:szCs w:val="22"/>
                      <w:lang w:val="en-US"/>
                    </w:rPr>
                    <w:t>(you)</w:t>
                  </w:r>
                  <w:r>
                    <w:rPr>
                      <w:rFonts w:ascii="Calibri" w:hAnsi="Calibri" w:cs="Calibri"/>
                      <w:sz w:val="22"/>
                      <w:szCs w:val="22"/>
                      <w:lang w:val="en-US"/>
                    </w:rPr>
                    <w:t xml:space="preserve"> </w:t>
                  </w:r>
                  <w:r w:rsidRPr="008D6262">
                    <w:rPr>
                      <w:rFonts w:ascii="Calibri" w:hAnsi="Calibri" w:cs="Calibri"/>
                      <w:sz w:val="22"/>
                      <w:szCs w:val="22"/>
                      <w:lang w:val="en-US"/>
                    </w:rPr>
                    <w:t>is an active participant in the main process who triggers this BUC. This will be an Institution where the main process permits their role to do so</w:t>
                  </w:r>
                </w:p>
              </w:tc>
            </w:tr>
            <w:tr w:rsidR="00C406BB" w:rsidRPr="00EC0865" w14:paraId="664D9B24" w14:textId="77777777" w:rsidTr="00450578">
              <w:tc>
                <w:tcPr>
                  <w:tcW w:w="1560" w:type="dxa"/>
                  <w:shd w:val="clear" w:color="auto" w:fill="auto"/>
                </w:tcPr>
                <w:p w14:paraId="3BA86102" w14:textId="77777777" w:rsidR="00C406BB" w:rsidRPr="00C406BB" w:rsidRDefault="00C406BB" w:rsidP="003C6D55">
                  <w:pPr>
                    <w:rPr>
                      <w:rFonts w:ascii="Calibri" w:hAnsi="Calibri" w:cs="Calibri"/>
                      <w:b/>
                      <w:i/>
                      <w:sz w:val="22"/>
                      <w:szCs w:val="22"/>
                      <w:lang w:val="en-US"/>
                    </w:rPr>
                  </w:pPr>
                  <w:r w:rsidRPr="00C406BB">
                    <w:rPr>
                      <w:rFonts w:ascii="Calibri" w:hAnsi="Calibri" w:cs="Calibri"/>
                      <w:b/>
                      <w:i/>
                      <w:sz w:val="22"/>
                      <w:szCs w:val="22"/>
                      <w:lang w:val="en-US"/>
                    </w:rPr>
                    <w:t>Other Participant(s)</w:t>
                  </w:r>
                </w:p>
              </w:tc>
              <w:tc>
                <w:tcPr>
                  <w:tcW w:w="8080" w:type="dxa"/>
                  <w:shd w:val="clear" w:color="auto" w:fill="auto"/>
                </w:tcPr>
                <w:p w14:paraId="459E55C7" w14:textId="77777777" w:rsidR="00C406BB" w:rsidRPr="00C406BB" w:rsidRDefault="00C406BB" w:rsidP="003C6D55">
                  <w:pPr>
                    <w:rPr>
                      <w:rFonts w:ascii="Calibri" w:hAnsi="Calibri" w:cs="Calibri"/>
                      <w:sz w:val="22"/>
                      <w:szCs w:val="22"/>
                      <w:lang w:val="en-US"/>
                    </w:rPr>
                  </w:pPr>
                  <w:r w:rsidRPr="00C406BB">
                    <w:rPr>
                      <w:rFonts w:ascii="Calibri" w:hAnsi="Calibri" w:cs="Calibri"/>
                      <w:sz w:val="22"/>
                      <w:szCs w:val="22"/>
                      <w:lang w:val="en-US"/>
                    </w:rPr>
                    <w:t>Other Participant(s) represents all other active participants in the main process. This will be one or more Institutions as determined by the main process.</w:t>
                  </w:r>
                </w:p>
              </w:tc>
            </w:tr>
          </w:tbl>
          <w:p w14:paraId="370445A7" w14:textId="77777777" w:rsidR="00D006FD" w:rsidRPr="00BA3049" w:rsidRDefault="00D006FD" w:rsidP="003360D1">
            <w:pPr>
              <w:spacing w:before="120"/>
              <w:jc w:val="both"/>
              <w:rPr>
                <w:rFonts w:ascii="Calibri" w:eastAsia="Calibri" w:hAnsi="Calibri" w:cs="Calibri"/>
                <w:b/>
                <w:u w:val="single"/>
              </w:rPr>
            </w:pPr>
            <w:r w:rsidRPr="00BA3049">
              <w:rPr>
                <w:rFonts w:ascii="Calibri" w:eastAsia="Calibri" w:hAnsi="Calibri" w:cs="Calibri"/>
                <w:b/>
                <w:u w:val="single"/>
              </w:rPr>
              <w:t>Steps:</w:t>
            </w:r>
          </w:p>
          <w:p w14:paraId="494A3FEF" w14:textId="77777777" w:rsidR="00D44F17" w:rsidRDefault="003974FE" w:rsidP="003974FE">
            <w:pPr>
              <w:jc w:val="both"/>
              <w:rPr>
                <w:rFonts w:ascii="Calibri" w:eastAsia="Calibri" w:hAnsi="Calibri" w:cs="Calibri"/>
              </w:rPr>
            </w:pPr>
            <w:r w:rsidRPr="003974FE">
              <w:rPr>
                <w:rFonts w:ascii="Calibri" w:eastAsia="Calibri" w:hAnsi="Calibri" w:cs="Calibri"/>
              </w:rPr>
              <w:t xml:space="preserve">To do so, </w:t>
            </w:r>
            <w:r w:rsidR="00D44F17">
              <w:rPr>
                <w:rFonts w:ascii="Calibri" w:eastAsia="Calibri" w:hAnsi="Calibri" w:cs="Calibri"/>
              </w:rPr>
              <w:t xml:space="preserve">you have to </w:t>
            </w:r>
            <w:r w:rsidRPr="003974FE">
              <w:rPr>
                <w:rFonts w:ascii="Calibri" w:eastAsia="Calibri" w:hAnsi="Calibri" w:cs="Calibri"/>
              </w:rPr>
              <w:t>fill out a new version of the SED that you sent initially (with an incremented version n</w:t>
            </w:r>
            <w:r w:rsidR="00D44F17">
              <w:rPr>
                <w:rFonts w:ascii="Calibri" w:eastAsia="Calibri" w:hAnsi="Calibri" w:cs="Calibri"/>
              </w:rPr>
              <w:t>umber) and send it to the same Other P</w:t>
            </w:r>
            <w:r w:rsidRPr="003974FE">
              <w:rPr>
                <w:rFonts w:ascii="Calibri" w:eastAsia="Calibri" w:hAnsi="Calibri" w:cs="Calibri"/>
              </w:rPr>
              <w:t>articipant</w:t>
            </w:r>
            <w:r w:rsidR="00D44F17">
              <w:rPr>
                <w:rFonts w:ascii="Calibri" w:eastAsia="Calibri" w:hAnsi="Calibri" w:cs="Calibri"/>
              </w:rPr>
              <w:t>(</w:t>
            </w:r>
            <w:r w:rsidRPr="003974FE">
              <w:rPr>
                <w:rFonts w:ascii="Calibri" w:eastAsia="Calibri" w:hAnsi="Calibri" w:cs="Calibri"/>
              </w:rPr>
              <w:t>s</w:t>
            </w:r>
            <w:r w:rsidR="00D44F17">
              <w:rPr>
                <w:rFonts w:ascii="Calibri" w:eastAsia="Calibri" w:hAnsi="Calibri" w:cs="Calibri"/>
              </w:rPr>
              <w:t>)</w:t>
            </w:r>
            <w:r w:rsidRPr="003974FE">
              <w:rPr>
                <w:rFonts w:ascii="Calibri" w:eastAsia="Calibri" w:hAnsi="Calibri" w:cs="Calibri"/>
              </w:rPr>
              <w:t xml:space="preserve"> that received the original SED. </w:t>
            </w:r>
          </w:p>
          <w:p w14:paraId="39E06FB7" w14:textId="642F65C5" w:rsidR="00D44F17" w:rsidRDefault="00D44F17" w:rsidP="003360D1">
            <w:pPr>
              <w:spacing w:before="120"/>
              <w:jc w:val="both"/>
              <w:rPr>
                <w:rFonts w:ascii="Calibri" w:eastAsia="Calibri" w:hAnsi="Calibri" w:cs="Calibri"/>
              </w:rPr>
            </w:pPr>
            <w:r w:rsidRPr="00D44F17">
              <w:rPr>
                <w:rFonts w:ascii="Calibri" w:eastAsia="Calibri" w:hAnsi="Calibri" w:cs="Calibri"/>
              </w:rPr>
              <w:t>The Other Participant</w:t>
            </w:r>
            <w:r>
              <w:rPr>
                <w:rFonts w:ascii="Calibri" w:eastAsia="Calibri" w:hAnsi="Calibri" w:cs="Calibri"/>
              </w:rPr>
              <w:t>(s)</w:t>
            </w:r>
            <w:r w:rsidRPr="00D44F17">
              <w:rPr>
                <w:rFonts w:ascii="Calibri" w:eastAsia="Calibri" w:hAnsi="Calibri" w:cs="Calibri"/>
              </w:rPr>
              <w:t xml:space="preserve"> receives the new S</w:t>
            </w:r>
            <w:r>
              <w:rPr>
                <w:rFonts w:ascii="Calibri" w:eastAsia="Calibri" w:hAnsi="Calibri" w:cs="Calibri"/>
              </w:rPr>
              <w:t xml:space="preserve">ED and it is clear </w:t>
            </w:r>
            <w:r w:rsidRPr="00D44F17">
              <w:rPr>
                <w:rFonts w:ascii="Calibri" w:eastAsia="Calibri" w:hAnsi="Calibri" w:cs="Calibri"/>
              </w:rPr>
              <w:t xml:space="preserve">that this SED contains the </w:t>
            </w:r>
            <w:r w:rsidR="00450578">
              <w:rPr>
                <w:rFonts w:ascii="Calibri" w:eastAsia="Calibri" w:hAnsi="Calibri" w:cs="Calibri"/>
              </w:rPr>
              <w:t>up to date</w:t>
            </w:r>
            <w:r w:rsidRPr="00D44F17">
              <w:rPr>
                <w:rFonts w:ascii="Calibri" w:eastAsia="Calibri" w:hAnsi="Calibri" w:cs="Calibri"/>
              </w:rPr>
              <w:t xml:space="preserve"> information and that the old version should not be used anymore.</w:t>
            </w:r>
          </w:p>
          <w:p w14:paraId="3F6124AF" w14:textId="77777777" w:rsidR="00D44F17" w:rsidRPr="00EE19AD" w:rsidRDefault="00D44F17" w:rsidP="003360D1">
            <w:pPr>
              <w:spacing w:before="120"/>
              <w:jc w:val="both"/>
              <w:rPr>
                <w:rFonts w:ascii="Calibri" w:eastAsia="Calibri" w:hAnsi="Calibri" w:cs="Calibri"/>
                <w:b/>
                <w:u w:val="single"/>
              </w:rPr>
            </w:pPr>
            <w:r w:rsidRPr="00EE19AD">
              <w:rPr>
                <w:rFonts w:ascii="Calibri" w:eastAsia="Calibri" w:hAnsi="Calibri" w:cs="Calibri"/>
                <w:b/>
                <w:u w:val="single"/>
              </w:rPr>
              <w:t>Special requirements:</w:t>
            </w:r>
          </w:p>
          <w:p w14:paraId="22FC0BD5" w14:textId="19148758" w:rsidR="00D44F17" w:rsidRDefault="00D44F17" w:rsidP="003974FE">
            <w:pPr>
              <w:jc w:val="both"/>
              <w:rPr>
                <w:rFonts w:ascii="Calibri" w:eastAsia="Calibri" w:hAnsi="Calibri" w:cs="Calibri"/>
              </w:rPr>
            </w:pPr>
            <w:r>
              <w:rPr>
                <w:rFonts w:ascii="Calibri" w:eastAsia="Calibri" w:hAnsi="Calibri" w:cs="Calibri"/>
              </w:rPr>
              <w:t>- Active p</w:t>
            </w:r>
            <w:r w:rsidRPr="009E4961">
              <w:rPr>
                <w:rFonts w:ascii="Calibri" w:eastAsia="Calibri" w:hAnsi="Calibri" w:cs="Calibri"/>
              </w:rPr>
              <w:t xml:space="preserve">articipants </w:t>
            </w:r>
            <w:r>
              <w:rPr>
                <w:rFonts w:ascii="Calibri" w:eastAsia="Calibri" w:hAnsi="Calibri" w:cs="Calibri"/>
              </w:rPr>
              <w:t xml:space="preserve">in this case </w:t>
            </w:r>
            <w:r w:rsidRPr="009E4961">
              <w:rPr>
                <w:rFonts w:ascii="Calibri" w:eastAsia="Calibri" w:hAnsi="Calibri" w:cs="Calibri"/>
              </w:rPr>
              <w:t xml:space="preserve">are those participants defined in the parent process which invoked this </w:t>
            </w:r>
            <w:r>
              <w:rPr>
                <w:rFonts w:ascii="Calibri" w:eastAsia="Calibri" w:hAnsi="Calibri" w:cs="Calibri"/>
              </w:rPr>
              <w:t xml:space="preserve">sub-process. </w:t>
            </w:r>
          </w:p>
          <w:p w14:paraId="337A5347" w14:textId="77777777" w:rsidR="003974FE" w:rsidRDefault="00D44F17" w:rsidP="00D44F17">
            <w:pPr>
              <w:jc w:val="both"/>
              <w:rPr>
                <w:rFonts w:ascii="Calibri" w:eastAsia="Calibri" w:hAnsi="Calibri" w:cs="Calibri"/>
              </w:rPr>
            </w:pPr>
            <w:r>
              <w:rPr>
                <w:rFonts w:ascii="Calibri" w:eastAsia="Calibri" w:hAnsi="Calibri" w:cs="Calibri"/>
              </w:rPr>
              <w:t xml:space="preserve">- </w:t>
            </w:r>
            <w:r w:rsidR="003974FE" w:rsidRPr="003974FE">
              <w:rPr>
                <w:rFonts w:ascii="Calibri" w:eastAsia="Calibri" w:hAnsi="Calibri" w:cs="Calibri"/>
              </w:rPr>
              <w:t xml:space="preserve">Note that </w:t>
            </w:r>
            <w:r>
              <w:rPr>
                <w:rFonts w:ascii="Calibri" w:eastAsia="Calibri" w:hAnsi="Calibri" w:cs="Calibri"/>
              </w:rPr>
              <w:t>the SED must be sent also to the newly added participants or ones that the case has been forwarded to. It shouldn't be sent to any participants that have been removed from the case through either removing the participant or the old institution after the case has been forwarded to a new institution.</w:t>
            </w:r>
          </w:p>
          <w:p w14:paraId="28A6A6F6" w14:textId="7499F7CD" w:rsidR="003360D1" w:rsidRPr="003974FE" w:rsidRDefault="003360D1" w:rsidP="00CB7D33">
            <w:pPr>
              <w:jc w:val="both"/>
              <w:rPr>
                <w:rFonts w:ascii="Calibri" w:eastAsia="Calibri" w:hAnsi="Calibri" w:cs="Calibri"/>
              </w:rPr>
            </w:pPr>
          </w:p>
        </w:tc>
      </w:tr>
    </w:tbl>
    <w:p w14:paraId="5391749B" w14:textId="3C366C36" w:rsidR="00C420DA" w:rsidRPr="00B164C9" w:rsidRDefault="00C420DA">
      <w:pPr>
        <w:rPr>
          <w:lang w:val="en-GB"/>
        </w:rPr>
      </w:pPr>
    </w:p>
    <w:sectPr w:rsidR="00C420DA" w:rsidRPr="00B164C9">
      <w:headerReference w:type="default" r:id="rId11"/>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6C153A" w14:textId="77777777" w:rsidR="007C6FA0" w:rsidRDefault="007C6FA0" w:rsidP="00AB3C18">
      <w:r>
        <w:separator/>
      </w:r>
    </w:p>
  </w:endnote>
  <w:endnote w:type="continuationSeparator" w:id="0">
    <w:p w14:paraId="4EC2510B" w14:textId="77777777" w:rsidR="007C6FA0" w:rsidRDefault="007C6FA0"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agoOfficeSans">
    <w:altName w:val="EC Square Sans Pro Extra Black"/>
    <w:charset w:val="00"/>
    <w:family w:val="auto"/>
    <w:pitch w:val="variable"/>
    <w:sig w:usb0="00000003" w:usb1="4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6DD1FA" w14:textId="59B0FF04" w:rsidR="0032133E" w:rsidRPr="00780DA6" w:rsidRDefault="0032133E" w:rsidP="0032133E">
    <w:pPr>
      <w:pStyle w:val="Header"/>
      <w:rPr>
        <w:rFonts w:ascii="Verdana" w:eastAsiaTheme="majorEastAsia" w:hAnsi="Verdana" w:cstheme="majorBidi"/>
        <w:bCs/>
        <w:sz w:val="16"/>
        <w:szCs w:val="36"/>
        <w:lang w:val="en-GB"/>
        <w14:numForm w14:val="oldStyle"/>
      </w:rPr>
    </w:pPr>
    <w:r w:rsidRPr="00780DA6">
      <w:rPr>
        <w:i/>
        <w:noProof/>
        <w:lang w:val="en-GB" w:eastAsia="en-GB"/>
      </w:rPr>
      <mc:AlternateContent>
        <mc:Choice Requires="wps">
          <w:drawing>
            <wp:anchor distT="0" distB="0" distL="114300" distR="114300" simplePos="0" relativeHeight="251661312" behindDoc="0" locked="0" layoutInCell="1" allowOverlap="1" wp14:anchorId="77903822" wp14:editId="72C656A0">
              <wp:simplePos x="0" y="0"/>
              <wp:positionH relativeFrom="column">
                <wp:posOffset>-145415</wp:posOffset>
              </wp:positionH>
              <wp:positionV relativeFrom="paragraph">
                <wp:posOffset>-40005</wp:posOffset>
              </wp:positionV>
              <wp:extent cx="6229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" strokecolor="#5b9bd5 [3204]" strokeweight=".5pt">
              <v:stroke joinstyle="miter"/>
            </v:line>
          </w:pict>
        </mc:Fallback>
      </mc:AlternateContent>
    </w:r>
    <w:r w:rsidRPr="00780DA6">
      <w:rPr>
        <w:rFonts w:ascii="Verdana" w:eastAsiaTheme="majorEastAsia" w:hAnsi="Verdana" w:cstheme="majorBidi"/>
        <w:bCs/>
        <w:sz w:val="16"/>
        <w:szCs w:val="36"/>
        <w:lang w:val="en-GB"/>
        <w14:numForm w14:val="oldStyle"/>
      </w:rPr>
      <w:t>Guidelines for AD_BUC_</w:t>
    </w:r>
    <w:r>
      <w:rPr>
        <w:rFonts w:ascii="Verdana" w:eastAsiaTheme="majorEastAsia" w:hAnsi="Verdana" w:cstheme="majorBidi"/>
        <w:bCs/>
        <w:sz w:val="16"/>
        <w:szCs w:val="36"/>
        <w:lang w:val="en-GB"/>
        <w14:numForm w14:val="oldStyle"/>
      </w:rPr>
      <w:t>10</w:t>
    </w:r>
    <w:r w:rsidRPr="00780DA6">
      <w:rPr>
        <w:rFonts w:ascii="Verdana" w:eastAsiaTheme="majorEastAsia" w:hAnsi="Verdana" w:cstheme="majorBidi"/>
        <w:bCs/>
        <w:sz w:val="16"/>
        <w:szCs w:val="36"/>
        <w:lang w:val="en-GB"/>
        <w14:numForm w14:val="oldStyle"/>
      </w:rPr>
      <w:t xml:space="preserve">_Subprocess – </w:t>
    </w:r>
    <w:r>
      <w:rPr>
        <w:rFonts w:ascii="Verdana" w:eastAsiaTheme="majorEastAsia" w:hAnsi="Verdana" w:cstheme="majorBidi"/>
        <w:bCs/>
        <w:sz w:val="16"/>
        <w:szCs w:val="36"/>
        <w:lang w:val="en-GB"/>
        <w14:numForm w14:val="oldStyle"/>
      </w:rPr>
      <w:t>Update SED</w:t>
    </w:r>
    <w:r w:rsidRPr="00780DA6">
      <w:rPr>
        <w:rFonts w:ascii="Verdana" w:eastAsiaTheme="majorEastAsia" w:hAnsi="Verdana" w:cstheme="majorBidi"/>
        <w:bCs/>
        <w:sz w:val="16"/>
        <w:szCs w:val="36"/>
        <w:lang w:val="en-GB"/>
        <w14:numForm w14:val="oldStyle"/>
      </w:rPr>
      <w:tab/>
    </w:r>
  </w:p>
  <w:p w14:paraId="599227BC" w14:textId="47CC30F9" w:rsidR="008835C5" w:rsidRDefault="00730BB5" w:rsidP="00730BB5">
    <w:pPr>
      <w:pStyle w:val="Header"/>
      <w:rPr>
        <w:rFonts w:ascii="Verdana" w:eastAsiaTheme="majorEastAsia" w:hAnsi="Verdana" w:cstheme="majorBidi"/>
        <w:bCs/>
        <w:sz w:val="16"/>
        <w:szCs w:val="36"/>
        <w:lang w:val="en-GB"/>
        <w14:numForm w14:val="oldStyle"/>
      </w:rPr>
    </w:pPr>
    <w:r w:rsidRPr="006B14CA">
      <w:rPr>
        <w:rFonts w:ascii="Verdana" w:eastAsiaTheme="majorEastAsia" w:hAnsi="Verdana" w:cstheme="majorBidi"/>
        <w:bCs/>
        <w:sz w:val="16"/>
        <w:szCs w:val="36"/>
        <w:lang w:val="en-GB"/>
        <w14:numForm w14:val="oldStyle"/>
      </w:rPr>
      <w:t xml:space="preserve">Based on: </w:t>
    </w:r>
    <w:r w:rsidRPr="00730BB5">
      <w:rPr>
        <w:rFonts w:ascii="Verdana" w:eastAsiaTheme="majorEastAsia" w:hAnsi="Verdana" w:cstheme="majorBidi"/>
        <w:bCs/>
        <w:sz w:val="16"/>
        <w:szCs w:val="36"/>
        <w:lang w:val="en-GB"/>
        <w14:numForm w14:val="oldStyle"/>
      </w:rPr>
      <w:t>AD</w:t>
    </w:r>
    <w:r w:rsidRPr="006B14CA">
      <w:rPr>
        <w:rFonts w:ascii="Verdana" w:eastAsiaTheme="majorEastAsia" w:hAnsi="Verdana" w:cstheme="majorBidi"/>
        <w:bCs/>
        <w:sz w:val="16"/>
        <w:szCs w:val="36"/>
        <w:lang w:val="en-GB"/>
        <w14:numForm w14:val="oldStyle"/>
      </w:rPr>
      <w:t>_BUC_</w:t>
    </w:r>
    <w:r>
      <w:rPr>
        <w:rFonts w:ascii="Verdana" w:eastAsiaTheme="majorEastAsia" w:hAnsi="Verdana" w:cstheme="majorBidi"/>
        <w:bCs/>
        <w:sz w:val="16"/>
        <w:szCs w:val="36"/>
        <w:lang w:val="en-GB"/>
        <w14:numForm w14:val="oldStyle"/>
      </w:rPr>
      <w:t>10_Sub</w:t>
    </w:r>
    <w:r w:rsidRPr="006B14CA">
      <w:rPr>
        <w:rFonts w:ascii="Verdana" w:eastAsiaTheme="majorEastAsia" w:hAnsi="Verdana" w:cstheme="majorBidi"/>
        <w:bCs/>
        <w:sz w:val="16"/>
        <w:szCs w:val="36"/>
        <w:lang w:val="en-GB"/>
        <w14:numForm w14:val="oldStyle"/>
      </w:rPr>
      <w:t xml:space="preserve"> version</w:t>
    </w:r>
    <w:r>
      <w:rPr>
        <w:rFonts w:ascii="Verdana" w:eastAsiaTheme="majorEastAsia" w:hAnsi="Verdana" w:cstheme="majorBidi"/>
        <w:bCs/>
        <w:sz w:val="16"/>
        <w:szCs w:val="36"/>
        <w:lang w:val="en-GB"/>
        <w14:numForm w14:val="oldStyle"/>
      </w:rPr>
      <w:t xml:space="preserve"> </w:t>
    </w:r>
    <w:r w:rsidR="006419C5">
      <w:rPr>
        <w:rFonts w:ascii="Verdana" w:eastAsiaTheme="majorEastAsia" w:hAnsi="Verdana" w:cstheme="majorBidi"/>
        <w:bCs/>
        <w:sz w:val="16"/>
        <w:szCs w:val="36"/>
        <w:lang w:val="en-GB"/>
        <w14:numForm w14:val="oldStyle"/>
      </w:rPr>
      <w:t>4.</w:t>
    </w:r>
    <w:r>
      <w:rPr>
        <w:rFonts w:ascii="Verdana" w:eastAsiaTheme="majorEastAsia" w:hAnsi="Verdana" w:cstheme="majorBidi"/>
        <w:bCs/>
        <w:sz w:val="16"/>
        <w:szCs w:val="36"/>
        <w:lang w:val="en-GB"/>
        <w14:numForm w14:val="oldStyle"/>
      </w:rPr>
      <w:t>1.0</w:t>
    </w:r>
  </w:p>
  <w:p w14:paraId="01B6164D" w14:textId="705E2AA1" w:rsidR="00730BB5" w:rsidRPr="00EC0865" w:rsidRDefault="00C32898" w:rsidP="00730BB5">
    <w:pPr>
      <w:pStyle w:val="Header"/>
      <w:rPr>
        <w:rFonts w:ascii="Verdana" w:eastAsiaTheme="majorEastAsia" w:hAnsi="Verdana" w:cstheme="majorBidi"/>
        <w:bCs/>
        <w:sz w:val="16"/>
        <w:szCs w:val="36"/>
        <w:lang w:val="fr-BE"/>
        <w14:numForm w14:val="oldStyle"/>
      </w:rPr>
    </w:pPr>
    <w:r w:rsidRPr="00EC0865">
      <w:rPr>
        <w:rFonts w:ascii="Verdana" w:eastAsiaTheme="majorEastAsia" w:hAnsi="Verdana" w:cstheme="majorBidi"/>
        <w:bCs/>
        <w:sz w:val="16"/>
        <w:szCs w:val="36"/>
        <w:lang w:val="fr-BE"/>
        <w14:numForm w14:val="oldStyle"/>
      </w:rPr>
      <w:t>Common Data Model version 4.</w:t>
    </w:r>
    <w:r w:rsidR="006419C5" w:rsidRPr="00EC0865">
      <w:rPr>
        <w:rFonts w:ascii="Verdana" w:eastAsiaTheme="majorEastAsia" w:hAnsi="Verdana" w:cstheme="majorBidi"/>
        <w:bCs/>
        <w:sz w:val="16"/>
        <w:szCs w:val="36"/>
        <w:lang w:val="fr-BE"/>
        <w14:numForm w14:val="oldStyle"/>
      </w:rPr>
      <w:t>1.0</w:t>
    </w:r>
    <w:r w:rsidR="00730BB5" w:rsidRPr="00EC0865">
      <w:rPr>
        <w:rFonts w:ascii="Verdana" w:eastAsiaTheme="majorEastAsia" w:hAnsi="Verdana" w:cstheme="majorBidi"/>
        <w:bCs/>
        <w:sz w:val="16"/>
        <w:szCs w:val="36"/>
        <w:lang w:val="fr-BE"/>
        <w14:numForm w14:val="oldStyle"/>
      </w:rPr>
      <w:tab/>
    </w:r>
  </w:p>
  <w:p w14:paraId="41823BD3" w14:textId="0A065603" w:rsidR="00730BB5" w:rsidRPr="00EC0865" w:rsidRDefault="00730BB5" w:rsidP="00730BB5">
    <w:pPr>
      <w:pStyle w:val="Header"/>
      <w:rPr>
        <w:rFonts w:ascii="Verdana" w:eastAsiaTheme="majorEastAsia" w:hAnsi="Verdana" w:cstheme="majorBidi"/>
        <w:bCs/>
        <w:sz w:val="16"/>
        <w:szCs w:val="36"/>
        <w:lang w:val="fr-BE"/>
        <w14:numForm w14:val="oldStyle"/>
      </w:rPr>
    </w:pPr>
    <w:r w:rsidRPr="00EC0865">
      <w:rPr>
        <w:rFonts w:ascii="Verdana" w:eastAsiaTheme="majorEastAsia" w:hAnsi="Verdana" w:cstheme="majorBidi"/>
        <w:bCs/>
        <w:sz w:val="16"/>
        <w:szCs w:val="36"/>
        <w:lang w:val="fr-BE"/>
        <w14:numForm w14:val="oldStyle"/>
      </w:rPr>
      <w:t xml:space="preserve">Date: </w:t>
    </w:r>
    <w:r w:rsidR="006419C5" w:rsidRPr="00EC0865">
      <w:rPr>
        <w:rFonts w:ascii="Verdana" w:eastAsiaTheme="majorEastAsia" w:hAnsi="Verdana" w:cstheme="majorBidi"/>
        <w:bCs/>
        <w:sz w:val="16"/>
        <w:szCs w:val="36"/>
        <w:lang w:val="fr-BE"/>
        <w14:numForm w14:val="oldStyle"/>
      </w:rPr>
      <w:t xml:space="preserve">September 2018 </w:t>
    </w:r>
    <w:r w:rsidRPr="00EC0865">
      <w:rPr>
        <w:rFonts w:ascii="Verdana" w:eastAsiaTheme="majorEastAsia" w:hAnsi="Verdana" w:cstheme="majorBidi"/>
        <w:bCs/>
        <w:sz w:val="16"/>
        <w:szCs w:val="36"/>
        <w:lang w:val="fr-BE"/>
        <w14:numForm w14:val="oldStyle"/>
      </w:rPr>
      <w:tab/>
    </w:r>
  </w:p>
  <w:p w14:paraId="3C3DDBCE" w14:textId="565A43CA" w:rsidR="00730BB5" w:rsidRPr="00EC0865" w:rsidRDefault="003360D1" w:rsidP="00730BB5">
    <w:pPr>
      <w:pStyle w:val="Header"/>
      <w:rPr>
        <w:rFonts w:ascii="Verdana" w:eastAsiaTheme="majorEastAsia" w:hAnsi="Verdana" w:cstheme="majorBidi"/>
        <w:bCs/>
        <w:sz w:val="16"/>
        <w:szCs w:val="36"/>
        <w:lang w:val="fr-BE"/>
        <w14:numForm w14:val="oldStyle"/>
      </w:rPr>
    </w:pPr>
    <w:r w:rsidRPr="00EC0865">
      <w:rPr>
        <w:rFonts w:ascii="Verdana" w:eastAsiaTheme="majorEastAsia" w:hAnsi="Verdana" w:cstheme="majorBidi"/>
        <w:bCs/>
        <w:sz w:val="16"/>
        <w:szCs w:val="36"/>
        <w:lang w:val="fr-BE"/>
        <w14:numForm w14:val="oldStyle"/>
      </w:rPr>
      <w:t xml:space="preserve">Document version: </w:t>
    </w:r>
    <w:r w:rsidR="006419C5" w:rsidRPr="00EC0865">
      <w:rPr>
        <w:rFonts w:ascii="Verdana" w:eastAsiaTheme="majorEastAsia" w:hAnsi="Verdana" w:cstheme="majorBidi"/>
        <w:bCs/>
        <w:sz w:val="16"/>
        <w:szCs w:val="36"/>
        <w:lang w:val="fr-BE"/>
        <w14:numForm w14:val="oldStyle"/>
      </w:rPr>
      <w:t>4.</w:t>
    </w:r>
    <w:r w:rsidRPr="00EC0865">
      <w:rPr>
        <w:rFonts w:ascii="Verdana" w:eastAsiaTheme="majorEastAsia" w:hAnsi="Verdana" w:cstheme="majorBidi"/>
        <w:bCs/>
        <w:sz w:val="16"/>
        <w:szCs w:val="36"/>
        <w:lang w:val="fr-BE"/>
        <w14:numForm w14:val="oldStyle"/>
      </w:rPr>
      <w:t>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F8EE5D" w14:textId="77777777" w:rsidR="007C6FA0" w:rsidRDefault="007C6FA0" w:rsidP="00AB3C18">
      <w:r>
        <w:separator/>
      </w:r>
    </w:p>
  </w:footnote>
  <w:footnote w:type="continuationSeparator" w:id="0">
    <w:p w14:paraId="03D94614" w14:textId="77777777" w:rsidR="007C6FA0" w:rsidRDefault="007C6FA0" w:rsidP="00AB3C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E97106" w14:textId="171CCBDE" w:rsidR="0032133E" w:rsidRDefault="0032133E" w:rsidP="0032133E">
    <w:pPr>
      <w:pStyle w:val="Header"/>
      <w:rPr>
        <w:rFonts w:ascii="Verdana" w:eastAsiaTheme="majorEastAsia" w:hAnsi="Verdana" w:cstheme="majorBidi"/>
        <w:b/>
        <w:bCs/>
        <w:i/>
        <w:color w:val="A6A6A6" w:themeColor="background1" w:themeShade="A6"/>
        <w:sz w:val="16"/>
        <w:szCs w:val="36"/>
        <w14:numForm w14:val="oldStyle"/>
      </w:rPr>
    </w:pPr>
    <w:r>
      <w:rPr>
        <w:noProof/>
        <w:lang w:val="en-GB" w:eastAsia="en-GB"/>
      </w:rPr>
      <w:drawing>
        <wp:anchor distT="0" distB="0" distL="114300" distR="114300" simplePos="0" relativeHeight="251659264" behindDoc="1" locked="0" layoutInCell="0" allowOverlap="1" wp14:anchorId="62A1B74A" wp14:editId="71016FFD">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proofErr w:type="spellStart"/>
    <w:r w:rsidRPr="000D3FA5">
      <w:rPr>
        <w:rFonts w:ascii="Verdana" w:eastAsiaTheme="majorEastAsia" w:hAnsi="Verdana" w:cstheme="majorBidi"/>
        <w:b/>
        <w:bCs/>
        <w:i/>
        <w:color w:val="A6A6A6" w:themeColor="background1" w:themeShade="A6"/>
        <w:sz w:val="16"/>
        <w:szCs w:val="36"/>
        <w14:numForm w14:val="oldStyle"/>
      </w:rPr>
      <w:t>Employment</w:t>
    </w:r>
    <w:proofErr w:type="spellEnd"/>
    <w:r w:rsidRPr="000D3FA5">
      <w:rPr>
        <w:rFonts w:ascii="Verdana" w:eastAsiaTheme="majorEastAsia" w:hAnsi="Verdana" w:cstheme="majorBidi"/>
        <w:b/>
        <w:bCs/>
        <w:i/>
        <w:color w:val="A6A6A6" w:themeColor="background1" w:themeShade="A6"/>
        <w:sz w:val="16"/>
        <w:szCs w:val="36"/>
        <w14:numForm w14:val="oldStyle"/>
      </w:rPr>
      <w:t xml:space="preserve">, </w:t>
    </w:r>
    <w:proofErr w:type="spellStart"/>
    <w:r w:rsidRPr="000D3FA5">
      <w:rPr>
        <w:rFonts w:ascii="Verdana" w:eastAsiaTheme="majorEastAsia" w:hAnsi="Verdana" w:cstheme="majorBidi"/>
        <w:b/>
        <w:bCs/>
        <w:i/>
        <w:color w:val="A6A6A6" w:themeColor="background1" w:themeShade="A6"/>
        <w:sz w:val="16"/>
        <w:szCs w:val="36"/>
        <w14:numForm w14:val="oldStyle"/>
      </w:rPr>
      <w:t>Social</w:t>
    </w:r>
    <w:proofErr w:type="spellEnd"/>
    <w:r w:rsidRPr="000D3FA5">
      <w:rPr>
        <w:rFonts w:ascii="Verdana" w:eastAsiaTheme="majorEastAsia" w:hAnsi="Verdana" w:cstheme="majorBidi"/>
        <w:b/>
        <w:bCs/>
        <w:i/>
        <w:color w:val="A6A6A6" w:themeColor="background1" w:themeShade="A6"/>
        <w:sz w:val="16"/>
        <w:szCs w:val="36"/>
        <w14:numForm w14:val="oldStyle"/>
      </w:rPr>
      <w:t xml:space="preserve"> </w:t>
    </w:r>
    <w:proofErr w:type="spellStart"/>
    <w:r w:rsidRPr="000D3FA5">
      <w:rPr>
        <w:rFonts w:ascii="Verdana" w:eastAsiaTheme="majorEastAsia" w:hAnsi="Verdana" w:cstheme="majorBidi"/>
        <w:b/>
        <w:bCs/>
        <w:i/>
        <w:color w:val="A6A6A6" w:themeColor="background1" w:themeShade="A6"/>
        <w:sz w:val="16"/>
        <w:szCs w:val="36"/>
        <w14:numForm w14:val="oldStyle"/>
      </w:rPr>
      <w:t>Affairs</w:t>
    </w:r>
    <w:proofErr w:type="spellEnd"/>
    <w:r w:rsidRPr="000D3FA5">
      <w:rPr>
        <w:rFonts w:ascii="Verdana" w:eastAsiaTheme="majorEastAsia" w:hAnsi="Verdana" w:cstheme="majorBidi"/>
        <w:b/>
        <w:bCs/>
        <w:i/>
        <w:color w:val="A6A6A6" w:themeColor="background1" w:themeShade="A6"/>
        <w:sz w:val="16"/>
        <w:szCs w:val="36"/>
        <w14:numForm w14:val="oldStyle"/>
      </w:rPr>
      <w:t xml:space="preserve"> &amp; </w:t>
    </w:r>
    <w:proofErr w:type="spellStart"/>
    <w:r w:rsidRPr="000D3FA5">
      <w:rPr>
        <w:rFonts w:ascii="Verdana" w:eastAsiaTheme="majorEastAsia" w:hAnsi="Verdana" w:cstheme="majorBidi"/>
        <w:b/>
        <w:bCs/>
        <w:i/>
        <w:color w:val="A6A6A6" w:themeColor="background1" w:themeShade="A6"/>
        <w:sz w:val="16"/>
        <w:szCs w:val="36"/>
        <w14:numForm w14:val="oldStyle"/>
      </w:rPr>
      <w:t>Inclusion</w:t>
    </w:r>
    <w:proofErr w:type="spellEnd"/>
  </w:p>
  <w:p w14:paraId="23E990B6" w14:textId="1778FA08" w:rsidR="0032133E" w:rsidRDefault="0032133E">
    <w:pPr>
      <w:pStyle w:val="Header"/>
    </w:pPr>
  </w:p>
  <w:p w14:paraId="7693FB6A" w14:textId="77777777" w:rsidR="0032133E" w:rsidRDefault="003213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697453"/>
    <w:multiLevelType w:val="hybridMultilevel"/>
    <w:tmpl w:val="BCF23E10"/>
    <w:lvl w:ilvl="0" w:tplc="4FD4D3CC">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DE28CD"/>
    <w:rsid w:val="000056A6"/>
    <w:rsid w:val="000121C8"/>
    <w:rsid w:val="00052C57"/>
    <w:rsid w:val="00094806"/>
    <w:rsid w:val="000B3328"/>
    <w:rsid w:val="000C62D3"/>
    <w:rsid w:val="000E315D"/>
    <w:rsid w:val="000F1DDB"/>
    <w:rsid w:val="00105076"/>
    <w:rsid w:val="00127312"/>
    <w:rsid w:val="001342C0"/>
    <w:rsid w:val="00142F55"/>
    <w:rsid w:val="00173A29"/>
    <w:rsid w:val="001A7E1F"/>
    <w:rsid w:val="001B500E"/>
    <w:rsid w:val="001C66A2"/>
    <w:rsid w:val="001D06B8"/>
    <w:rsid w:val="001D6BD0"/>
    <w:rsid w:val="001E6B56"/>
    <w:rsid w:val="002029F8"/>
    <w:rsid w:val="0023233A"/>
    <w:rsid w:val="00234115"/>
    <w:rsid w:val="002473B8"/>
    <w:rsid w:val="00283767"/>
    <w:rsid w:val="002C649D"/>
    <w:rsid w:val="002E55C7"/>
    <w:rsid w:val="002F6A19"/>
    <w:rsid w:val="002F79A2"/>
    <w:rsid w:val="0030294F"/>
    <w:rsid w:val="00304B04"/>
    <w:rsid w:val="003110EC"/>
    <w:rsid w:val="0032133E"/>
    <w:rsid w:val="0032305C"/>
    <w:rsid w:val="003237EE"/>
    <w:rsid w:val="003360D1"/>
    <w:rsid w:val="00340ADD"/>
    <w:rsid w:val="00376E7B"/>
    <w:rsid w:val="003873C7"/>
    <w:rsid w:val="003974FE"/>
    <w:rsid w:val="003C1F83"/>
    <w:rsid w:val="003C56B9"/>
    <w:rsid w:val="003D175F"/>
    <w:rsid w:val="003E1BF6"/>
    <w:rsid w:val="00417AD3"/>
    <w:rsid w:val="0042620D"/>
    <w:rsid w:val="00443229"/>
    <w:rsid w:val="00450578"/>
    <w:rsid w:val="004A62FD"/>
    <w:rsid w:val="004C3FA3"/>
    <w:rsid w:val="004C497A"/>
    <w:rsid w:val="00556052"/>
    <w:rsid w:val="00574310"/>
    <w:rsid w:val="005B1C63"/>
    <w:rsid w:val="00633F90"/>
    <w:rsid w:val="006419C5"/>
    <w:rsid w:val="00645E8B"/>
    <w:rsid w:val="006728A1"/>
    <w:rsid w:val="0067458C"/>
    <w:rsid w:val="0068633B"/>
    <w:rsid w:val="00697559"/>
    <w:rsid w:val="006975C8"/>
    <w:rsid w:val="006B6BB3"/>
    <w:rsid w:val="006C2F17"/>
    <w:rsid w:val="006E463E"/>
    <w:rsid w:val="007149E7"/>
    <w:rsid w:val="00721A2B"/>
    <w:rsid w:val="00722276"/>
    <w:rsid w:val="00730BB5"/>
    <w:rsid w:val="00740472"/>
    <w:rsid w:val="00747CCE"/>
    <w:rsid w:val="00765F0D"/>
    <w:rsid w:val="00775EB4"/>
    <w:rsid w:val="0078732C"/>
    <w:rsid w:val="007A77C8"/>
    <w:rsid w:val="007C359E"/>
    <w:rsid w:val="007C6FA0"/>
    <w:rsid w:val="0080404C"/>
    <w:rsid w:val="00817E31"/>
    <w:rsid w:val="008835C5"/>
    <w:rsid w:val="0089206C"/>
    <w:rsid w:val="008B0154"/>
    <w:rsid w:val="008B1069"/>
    <w:rsid w:val="008E64A4"/>
    <w:rsid w:val="00930DD4"/>
    <w:rsid w:val="00963CE8"/>
    <w:rsid w:val="009A0749"/>
    <w:rsid w:val="009B5934"/>
    <w:rsid w:val="009C25E7"/>
    <w:rsid w:val="009E0CC0"/>
    <w:rsid w:val="009E279F"/>
    <w:rsid w:val="009E51FA"/>
    <w:rsid w:val="00A14F81"/>
    <w:rsid w:val="00A22C8C"/>
    <w:rsid w:val="00A27C37"/>
    <w:rsid w:val="00A73764"/>
    <w:rsid w:val="00A748C0"/>
    <w:rsid w:val="00AA4ADE"/>
    <w:rsid w:val="00AB3C18"/>
    <w:rsid w:val="00AD1264"/>
    <w:rsid w:val="00AD7DDD"/>
    <w:rsid w:val="00AE627F"/>
    <w:rsid w:val="00AF2A3F"/>
    <w:rsid w:val="00B164C9"/>
    <w:rsid w:val="00B27FEC"/>
    <w:rsid w:val="00B40A09"/>
    <w:rsid w:val="00B60D6A"/>
    <w:rsid w:val="00B657B4"/>
    <w:rsid w:val="00B6735A"/>
    <w:rsid w:val="00BC1FB8"/>
    <w:rsid w:val="00BC7075"/>
    <w:rsid w:val="00BD2713"/>
    <w:rsid w:val="00BF0737"/>
    <w:rsid w:val="00C32898"/>
    <w:rsid w:val="00C406BB"/>
    <w:rsid w:val="00C420DA"/>
    <w:rsid w:val="00C56E22"/>
    <w:rsid w:val="00CB2F07"/>
    <w:rsid w:val="00CB7D33"/>
    <w:rsid w:val="00CF78E6"/>
    <w:rsid w:val="00D006FD"/>
    <w:rsid w:val="00D1469B"/>
    <w:rsid w:val="00D1603D"/>
    <w:rsid w:val="00D31138"/>
    <w:rsid w:val="00D44F17"/>
    <w:rsid w:val="00D46108"/>
    <w:rsid w:val="00D46796"/>
    <w:rsid w:val="00D51634"/>
    <w:rsid w:val="00D53DD0"/>
    <w:rsid w:val="00DA0D06"/>
    <w:rsid w:val="00DB42AB"/>
    <w:rsid w:val="00DE28CD"/>
    <w:rsid w:val="00DE3622"/>
    <w:rsid w:val="00DF6399"/>
    <w:rsid w:val="00DF696A"/>
    <w:rsid w:val="00E22C24"/>
    <w:rsid w:val="00E56507"/>
    <w:rsid w:val="00E56E4B"/>
    <w:rsid w:val="00E57012"/>
    <w:rsid w:val="00E61B8D"/>
    <w:rsid w:val="00E7349B"/>
    <w:rsid w:val="00EC0865"/>
    <w:rsid w:val="00ED3974"/>
    <w:rsid w:val="00ED6C57"/>
    <w:rsid w:val="00F3569D"/>
    <w:rsid w:val="00F40A7A"/>
    <w:rsid w:val="00F503C9"/>
    <w:rsid w:val="00F67084"/>
    <w:rsid w:val="00F85F43"/>
    <w:rsid w:val="00FB704D"/>
    <w:rsid w:val="00FC1F67"/>
    <w:rsid w:val="00FF6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7B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table" w:styleId="TableGrid">
    <w:name w:val="Table Grid"/>
    <w:basedOn w:val="TableNormal"/>
    <w:uiPriority w:val="59"/>
    <w:rsid w:val="00DE28C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6A19"/>
    <w:pPr>
      <w:ind w:left="720"/>
      <w:contextualSpacing/>
    </w:pPr>
    <w:rPr>
      <w:rFonts w:ascii="Times New Roman" w:eastAsia="Times New Roman" w:hAnsi="Times New Roman"/>
      <w:sz w:val="24"/>
      <w:szCs w:val="24"/>
      <w:lang w:val="nl-NL" w:eastAsia="nl-NL"/>
    </w:rPr>
  </w:style>
  <w:style w:type="table" w:customStyle="1" w:styleId="Tabellenraster1">
    <w:name w:val="Tabellenraster1"/>
    <w:basedOn w:val="TableNormal"/>
    <w:next w:val="TableGrid"/>
    <w:uiPriority w:val="59"/>
    <w:rsid w:val="0042620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TableNormal"/>
    <w:next w:val="TableGrid"/>
    <w:uiPriority w:val="59"/>
    <w:rsid w:val="00B164C9"/>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TableNormal"/>
    <w:next w:val="TableGrid"/>
    <w:uiPriority w:val="59"/>
    <w:rsid w:val="00A14F81"/>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TableNormal"/>
    <w:next w:val="TableGrid"/>
    <w:uiPriority w:val="59"/>
    <w:rsid w:val="00F67084"/>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TableNormal"/>
    <w:next w:val="TableGrid"/>
    <w:uiPriority w:val="59"/>
    <w:rsid w:val="008B0154"/>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TableNormal"/>
    <w:next w:val="TableGrid"/>
    <w:uiPriority w:val="59"/>
    <w:rsid w:val="001C66A2"/>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TableNormal"/>
    <w:next w:val="TableGrid"/>
    <w:uiPriority w:val="59"/>
    <w:rsid w:val="00E7349B"/>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TableNormal"/>
    <w:next w:val="TableGrid"/>
    <w:uiPriority w:val="59"/>
    <w:rsid w:val="002E55C7"/>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TableNormal"/>
    <w:next w:val="TableGrid"/>
    <w:uiPriority w:val="59"/>
    <w:rsid w:val="00AF2A3F"/>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TableNormal"/>
    <w:next w:val="TableGrid"/>
    <w:uiPriority w:val="59"/>
    <w:rsid w:val="007C359E"/>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TableNormal"/>
    <w:next w:val="TableGrid"/>
    <w:uiPriority w:val="59"/>
    <w:rsid w:val="00740472"/>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TableNormal"/>
    <w:next w:val="TableGrid"/>
    <w:uiPriority w:val="59"/>
    <w:rsid w:val="008B1069"/>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TableNormal"/>
    <w:next w:val="TableGrid"/>
    <w:uiPriority w:val="59"/>
    <w:rsid w:val="002C649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TableNormal"/>
    <w:next w:val="TableGrid"/>
    <w:uiPriority w:val="59"/>
    <w:rsid w:val="00645E8B"/>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TableNormal"/>
    <w:next w:val="TableGrid"/>
    <w:uiPriority w:val="59"/>
    <w:rsid w:val="000E315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6">
    <w:name w:val="Tabellenraster16"/>
    <w:basedOn w:val="TableNormal"/>
    <w:next w:val="TableGrid"/>
    <w:uiPriority w:val="59"/>
    <w:rsid w:val="00B60D6A"/>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TableNormal"/>
    <w:next w:val="TableGrid"/>
    <w:uiPriority w:val="59"/>
    <w:rsid w:val="00094806"/>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8">
    <w:name w:val="Tabellenraster18"/>
    <w:basedOn w:val="TableNormal"/>
    <w:next w:val="TableGrid"/>
    <w:uiPriority w:val="59"/>
    <w:rsid w:val="003974FE"/>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2133E"/>
    <w:pPr>
      <w:tabs>
        <w:tab w:val="center" w:pos="4536"/>
        <w:tab w:val="right" w:pos="9072"/>
      </w:tabs>
    </w:pPr>
  </w:style>
  <w:style w:type="character" w:customStyle="1" w:styleId="HeaderChar">
    <w:name w:val="Header Char"/>
    <w:basedOn w:val="DefaultParagraphFont"/>
    <w:link w:val="Header"/>
    <w:uiPriority w:val="99"/>
    <w:rsid w:val="0032133E"/>
  </w:style>
  <w:style w:type="paragraph" w:styleId="Footer">
    <w:name w:val="footer"/>
    <w:basedOn w:val="Normal"/>
    <w:link w:val="FooterChar"/>
    <w:uiPriority w:val="99"/>
    <w:unhideWhenUsed/>
    <w:rsid w:val="0032133E"/>
    <w:pPr>
      <w:tabs>
        <w:tab w:val="center" w:pos="4536"/>
        <w:tab w:val="right" w:pos="9072"/>
      </w:tabs>
    </w:pPr>
  </w:style>
  <w:style w:type="character" w:customStyle="1" w:styleId="FooterChar">
    <w:name w:val="Footer Char"/>
    <w:basedOn w:val="DefaultParagraphFont"/>
    <w:link w:val="Footer"/>
    <w:uiPriority w:val="99"/>
    <w:rsid w:val="0032133E"/>
  </w:style>
  <w:style w:type="paragraph" w:styleId="BalloonText">
    <w:name w:val="Balloon Text"/>
    <w:basedOn w:val="Normal"/>
    <w:link w:val="BalloonTextChar"/>
    <w:uiPriority w:val="99"/>
    <w:semiHidden/>
    <w:unhideWhenUsed/>
    <w:rsid w:val="0032133E"/>
    <w:rPr>
      <w:rFonts w:ascii="Tahoma" w:hAnsi="Tahoma" w:cs="Tahoma"/>
      <w:sz w:val="16"/>
      <w:szCs w:val="16"/>
    </w:rPr>
  </w:style>
  <w:style w:type="character" w:customStyle="1" w:styleId="BalloonTextChar">
    <w:name w:val="Balloon Text Char"/>
    <w:basedOn w:val="DefaultParagraphFont"/>
    <w:link w:val="BalloonText"/>
    <w:uiPriority w:val="99"/>
    <w:semiHidden/>
    <w:rsid w:val="0032133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table" w:styleId="TableGrid">
    <w:name w:val="Table Grid"/>
    <w:basedOn w:val="TableNormal"/>
    <w:uiPriority w:val="59"/>
    <w:rsid w:val="00DE28C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6A19"/>
    <w:pPr>
      <w:ind w:left="720"/>
      <w:contextualSpacing/>
    </w:pPr>
    <w:rPr>
      <w:rFonts w:ascii="Times New Roman" w:eastAsia="Times New Roman" w:hAnsi="Times New Roman"/>
      <w:sz w:val="24"/>
      <w:szCs w:val="24"/>
      <w:lang w:val="nl-NL" w:eastAsia="nl-NL"/>
    </w:rPr>
  </w:style>
  <w:style w:type="table" w:customStyle="1" w:styleId="Tabellenraster1">
    <w:name w:val="Tabellenraster1"/>
    <w:basedOn w:val="TableNormal"/>
    <w:next w:val="TableGrid"/>
    <w:uiPriority w:val="59"/>
    <w:rsid w:val="0042620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TableNormal"/>
    <w:next w:val="TableGrid"/>
    <w:uiPriority w:val="59"/>
    <w:rsid w:val="00B164C9"/>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TableNormal"/>
    <w:next w:val="TableGrid"/>
    <w:uiPriority w:val="59"/>
    <w:rsid w:val="00A14F81"/>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TableNormal"/>
    <w:next w:val="TableGrid"/>
    <w:uiPriority w:val="59"/>
    <w:rsid w:val="00F67084"/>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TableNormal"/>
    <w:next w:val="TableGrid"/>
    <w:uiPriority w:val="59"/>
    <w:rsid w:val="008B0154"/>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TableNormal"/>
    <w:next w:val="TableGrid"/>
    <w:uiPriority w:val="59"/>
    <w:rsid w:val="001C66A2"/>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TableNormal"/>
    <w:next w:val="TableGrid"/>
    <w:uiPriority w:val="59"/>
    <w:rsid w:val="00E7349B"/>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TableNormal"/>
    <w:next w:val="TableGrid"/>
    <w:uiPriority w:val="59"/>
    <w:rsid w:val="002E55C7"/>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TableNormal"/>
    <w:next w:val="TableGrid"/>
    <w:uiPriority w:val="59"/>
    <w:rsid w:val="00AF2A3F"/>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TableNormal"/>
    <w:next w:val="TableGrid"/>
    <w:uiPriority w:val="59"/>
    <w:rsid w:val="007C359E"/>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TableNormal"/>
    <w:next w:val="TableGrid"/>
    <w:uiPriority w:val="59"/>
    <w:rsid w:val="00740472"/>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TableNormal"/>
    <w:next w:val="TableGrid"/>
    <w:uiPriority w:val="59"/>
    <w:rsid w:val="008B1069"/>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TableNormal"/>
    <w:next w:val="TableGrid"/>
    <w:uiPriority w:val="59"/>
    <w:rsid w:val="002C649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TableNormal"/>
    <w:next w:val="TableGrid"/>
    <w:uiPriority w:val="59"/>
    <w:rsid w:val="00645E8B"/>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TableNormal"/>
    <w:next w:val="TableGrid"/>
    <w:uiPriority w:val="59"/>
    <w:rsid w:val="000E315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6">
    <w:name w:val="Tabellenraster16"/>
    <w:basedOn w:val="TableNormal"/>
    <w:next w:val="TableGrid"/>
    <w:uiPriority w:val="59"/>
    <w:rsid w:val="00B60D6A"/>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TableNormal"/>
    <w:next w:val="TableGrid"/>
    <w:uiPriority w:val="59"/>
    <w:rsid w:val="00094806"/>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8">
    <w:name w:val="Tabellenraster18"/>
    <w:basedOn w:val="TableNormal"/>
    <w:next w:val="TableGrid"/>
    <w:uiPriority w:val="59"/>
    <w:rsid w:val="003974FE"/>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2133E"/>
    <w:pPr>
      <w:tabs>
        <w:tab w:val="center" w:pos="4536"/>
        <w:tab w:val="right" w:pos="9072"/>
      </w:tabs>
    </w:pPr>
  </w:style>
  <w:style w:type="character" w:customStyle="1" w:styleId="HeaderChar">
    <w:name w:val="Header Char"/>
    <w:basedOn w:val="DefaultParagraphFont"/>
    <w:link w:val="Header"/>
    <w:uiPriority w:val="99"/>
    <w:rsid w:val="0032133E"/>
  </w:style>
  <w:style w:type="paragraph" w:styleId="Footer">
    <w:name w:val="footer"/>
    <w:basedOn w:val="Normal"/>
    <w:link w:val="FooterChar"/>
    <w:uiPriority w:val="99"/>
    <w:unhideWhenUsed/>
    <w:rsid w:val="0032133E"/>
    <w:pPr>
      <w:tabs>
        <w:tab w:val="center" w:pos="4536"/>
        <w:tab w:val="right" w:pos="9072"/>
      </w:tabs>
    </w:pPr>
  </w:style>
  <w:style w:type="character" w:customStyle="1" w:styleId="FooterChar">
    <w:name w:val="Footer Char"/>
    <w:basedOn w:val="DefaultParagraphFont"/>
    <w:link w:val="Footer"/>
    <w:uiPriority w:val="99"/>
    <w:rsid w:val="0032133E"/>
  </w:style>
  <w:style w:type="paragraph" w:styleId="BalloonText">
    <w:name w:val="Balloon Text"/>
    <w:basedOn w:val="Normal"/>
    <w:link w:val="BalloonTextChar"/>
    <w:uiPriority w:val="99"/>
    <w:semiHidden/>
    <w:unhideWhenUsed/>
    <w:rsid w:val="0032133E"/>
    <w:rPr>
      <w:rFonts w:ascii="Tahoma" w:hAnsi="Tahoma" w:cs="Tahoma"/>
      <w:sz w:val="16"/>
      <w:szCs w:val="16"/>
    </w:rPr>
  </w:style>
  <w:style w:type="character" w:customStyle="1" w:styleId="BalloonTextChar">
    <w:name w:val="Balloon Text Char"/>
    <w:basedOn w:val="DefaultParagraphFont"/>
    <w:link w:val="BalloonText"/>
    <w:uiPriority w:val="99"/>
    <w:semiHidden/>
    <w:rsid w:val="0032133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INIT Fago Sans">
      <a:majorFont>
        <a:latin typeface="FagoOfficeSans"/>
        <a:ea typeface=""/>
        <a:cs typeface=""/>
      </a:majorFont>
      <a:minorFont>
        <a:latin typeface="FagoOfficeSans"/>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9B8B58597F526469B73D4E98E08216A" ma:contentTypeVersion="1" ma:contentTypeDescription="Create a new document." ma:contentTypeScope="" ma:versionID="83d7c4a95e51da86c04a64590c94c4b9">
  <xsd:schema xmlns:xsd="http://www.w3.org/2001/XMLSchema" xmlns:xs="http://www.w3.org/2001/XMLSchema" xmlns:p="http://schemas.microsoft.com/office/2006/metadata/properties" xmlns:ns2="588b5683-a73d-4fcb-b697-2d86fae19a18" targetNamespace="http://schemas.microsoft.com/office/2006/metadata/properties" ma:root="true" ma:fieldsID="77949e7193972ce2da24a392c983a128" ns2:_="">
    <xsd:import namespace="588b5683-a73d-4fcb-b697-2d86fae19a1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5683-a73d-4fcb-b697-2d86fae19a1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BD4090-B50F-432D-B24C-B8236E80AD9D}">
  <ds:schemaRefs>
    <ds:schemaRef ds:uri="http://purl.org/dc/terms/"/>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www.w3.org/XML/1998/namespace"/>
    <ds:schemaRef ds:uri="http://purl.org/dc/dcmitype/"/>
    <ds:schemaRef ds:uri="http://schemas.microsoft.com/office/infopath/2007/PartnerControls"/>
    <ds:schemaRef ds:uri="588b5683-a73d-4fcb-b697-2d86fae19a18"/>
  </ds:schemaRefs>
</ds:datastoreItem>
</file>

<file path=customXml/itemProps2.xml><?xml version="1.0" encoding="utf-8"?>
<ds:datastoreItem xmlns:ds="http://schemas.openxmlformats.org/officeDocument/2006/customXml" ds:itemID="{2856272A-FCB4-4B36-A338-C1C8BB431A98}">
  <ds:schemaRefs>
    <ds:schemaRef ds:uri="http://schemas.microsoft.com/sharepoint/v3/contenttype/forms"/>
  </ds:schemaRefs>
</ds:datastoreItem>
</file>

<file path=customXml/itemProps3.xml><?xml version="1.0" encoding="utf-8"?>
<ds:datastoreItem xmlns:ds="http://schemas.openxmlformats.org/officeDocument/2006/customXml" ds:itemID="{90224529-6213-4960-BACA-8168147D7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5683-a73d-4fcb-b697-2d86fae19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412</Words>
  <Characters>2350</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Init AG</Company>
  <LinksUpToDate>false</LinksUpToDate>
  <CharactersWithSpaces>2757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BACELLI Novella (EMPL-EXT)</cp:lastModifiedBy>
  <cp:revision>18</cp:revision>
  <dcterms:created xsi:type="dcterms:W3CDTF">2017-03-21T12:16:00Z</dcterms:created>
  <dcterms:modified xsi:type="dcterms:W3CDTF">2018-10-01T10:27:00Z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0x010100A9B8B58597F526469B73D4E98E08216A</vt:lpwstr>
  </property>
</Properties>
</file>